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F38" w:rsidRDefault="004B6F38" w:rsidP="00245EC5">
      <w:pPr>
        <w:spacing w:before="240" w:line="460" w:lineRule="exact"/>
        <w:rPr>
          <w:rFonts w:ascii="微軟正黑體" w:eastAsia="微軟正黑體" w:hAnsi="微軟正黑體"/>
        </w:rPr>
      </w:pPr>
      <w:bookmarkStart w:id="0" w:name="_GoBack"/>
      <w:bookmarkEnd w:id="0"/>
    </w:p>
    <w:p w:rsidR="004B6F38" w:rsidRPr="005E568F" w:rsidRDefault="004B6F38" w:rsidP="006B58AC">
      <w:pPr>
        <w:pStyle w:val="Web"/>
        <w:spacing w:before="240" w:beforeAutospacing="0" w:after="240" w:afterAutospacing="0"/>
        <w:jc w:val="center"/>
        <w:rPr>
          <w:b/>
          <w:sz w:val="30"/>
          <w:szCs w:val="30"/>
        </w:rPr>
      </w:pPr>
      <w:r w:rsidRPr="005E568F">
        <w:rPr>
          <w:rFonts w:ascii="Arial" w:hAnsi="Arial" w:cs="Arial"/>
          <w:b/>
          <w:color w:val="000000"/>
          <w:sz w:val="30"/>
          <w:szCs w:val="30"/>
        </w:rPr>
        <w:t>Taitung County Government</w:t>
      </w:r>
      <w:r w:rsidRPr="005E568F">
        <w:rPr>
          <w:rFonts w:ascii="Arial" w:hAnsi="Arial" w:cs="Arial"/>
          <w:b/>
          <w:color w:val="000000"/>
          <w:sz w:val="30"/>
          <w:szCs w:val="30"/>
        </w:rPr>
        <w:br/>
      </w:r>
      <w:r w:rsidR="006B58AC" w:rsidRPr="005E568F">
        <w:rPr>
          <w:rFonts w:ascii="Arial" w:hAnsi="Arial" w:cs="Arial"/>
          <w:b/>
          <w:color w:val="000000"/>
          <w:sz w:val="30"/>
          <w:szCs w:val="30"/>
        </w:rPr>
        <w:t xml:space="preserve">Taitung </w:t>
      </w:r>
      <w:r w:rsidRPr="005E568F">
        <w:rPr>
          <w:rFonts w:ascii="Arial" w:hAnsi="Arial" w:cs="Arial"/>
          <w:b/>
          <w:color w:val="000000"/>
          <w:sz w:val="30"/>
          <w:szCs w:val="30"/>
        </w:rPr>
        <w:t>Indigenous Cultural</w:t>
      </w:r>
      <w:r w:rsidR="006B58AC" w:rsidRPr="005E568F">
        <w:rPr>
          <w:rFonts w:ascii="Arial" w:hAnsi="Arial" w:cs="Arial"/>
          <w:b/>
          <w:color w:val="000000"/>
          <w:sz w:val="30"/>
          <w:szCs w:val="30"/>
        </w:rPr>
        <w:t xml:space="preserve"> and Creative Industries Park</w:t>
      </w:r>
      <w:r w:rsidRPr="005E568F">
        <w:rPr>
          <w:rFonts w:ascii="Arial" w:hAnsi="Arial" w:cs="Arial"/>
          <w:b/>
          <w:color w:val="000000"/>
          <w:sz w:val="30"/>
          <w:szCs w:val="30"/>
        </w:rPr>
        <w:br/>
        <w:t>TTICC Artist Residency Program Selection Guidelines</w:t>
      </w:r>
    </w:p>
    <w:p w:rsidR="004B6F38" w:rsidRPr="005E568F" w:rsidRDefault="004B6F38" w:rsidP="005E568F">
      <w:pPr>
        <w:pStyle w:val="Web"/>
        <w:numPr>
          <w:ilvl w:val="0"/>
          <w:numId w:val="13"/>
        </w:numPr>
        <w:spacing w:before="240" w:beforeAutospacing="0" w:after="0" w:afterAutospacing="0"/>
        <w:textAlignment w:val="baseline"/>
        <w:rPr>
          <w:rFonts w:ascii="Arial" w:hAnsi="Arial" w:cs="Arial"/>
          <w:color w:val="000000"/>
          <w:sz w:val="27"/>
          <w:szCs w:val="27"/>
        </w:rPr>
      </w:pPr>
      <w:r>
        <w:rPr>
          <w:rFonts w:ascii="Arial" w:hAnsi="Arial" w:cs="Arial"/>
          <w:color w:val="000000"/>
          <w:sz w:val="27"/>
          <w:szCs w:val="27"/>
        </w:rPr>
        <w:t>Project Purpose:</w:t>
      </w:r>
      <w:r w:rsidRPr="005E568F">
        <w:rPr>
          <w:rFonts w:ascii="Arial" w:hAnsi="Arial" w:cs="Arial"/>
          <w:color w:val="000000"/>
          <w:sz w:val="27"/>
          <w:szCs w:val="27"/>
        </w:rPr>
        <w:br/>
        <w:t xml:space="preserve">To enhance the creative energy of the Indigenous Cultural and Creative </w:t>
      </w:r>
      <w:r w:rsidR="00245EC5" w:rsidRPr="005E568F">
        <w:rPr>
          <w:rFonts w:ascii="Arial" w:hAnsi="Arial" w:cs="Arial"/>
          <w:color w:val="000000"/>
          <w:sz w:val="27"/>
          <w:szCs w:val="27"/>
        </w:rPr>
        <w:t>Industries</w:t>
      </w:r>
      <w:r w:rsidRPr="005E568F">
        <w:rPr>
          <w:rFonts w:ascii="Arial" w:hAnsi="Arial" w:cs="Arial"/>
          <w:color w:val="000000"/>
          <w:sz w:val="27"/>
          <w:szCs w:val="27"/>
        </w:rPr>
        <w:t xml:space="preserve"> </w:t>
      </w:r>
      <w:r w:rsidR="00245EC5" w:rsidRPr="005E568F">
        <w:rPr>
          <w:rFonts w:ascii="Arial" w:hAnsi="Arial" w:cs="Arial"/>
          <w:color w:val="000000"/>
          <w:sz w:val="27"/>
          <w:szCs w:val="27"/>
        </w:rPr>
        <w:t>Park in Taitung County</w:t>
      </w:r>
      <w:r w:rsidRPr="005E568F">
        <w:rPr>
          <w:rFonts w:ascii="Arial" w:hAnsi="Arial" w:cs="Arial"/>
          <w:color w:val="000000"/>
          <w:sz w:val="27"/>
          <w:szCs w:val="27"/>
        </w:rPr>
        <w:t xml:space="preserve"> by inviting domestic and international Indigenous artists or art groups to create works in various fields, including design, art, video, music, and dance. The program aims to connect artists with the rich Indigenous culture of Taitung County for multidisciplinary creation.</w:t>
      </w:r>
    </w:p>
    <w:p w:rsidR="004B6F38" w:rsidRDefault="004B6F38" w:rsidP="005E568F">
      <w:pPr>
        <w:pStyle w:val="Web"/>
        <w:numPr>
          <w:ilvl w:val="0"/>
          <w:numId w:val="13"/>
        </w:numPr>
        <w:spacing w:before="240" w:beforeAutospacing="0" w:after="0" w:afterAutospacing="0"/>
        <w:textAlignment w:val="baseline"/>
        <w:rPr>
          <w:rFonts w:ascii="Arial" w:hAnsi="Arial" w:cs="Arial"/>
          <w:color w:val="000000"/>
          <w:sz w:val="27"/>
          <w:szCs w:val="27"/>
        </w:rPr>
      </w:pPr>
      <w:r>
        <w:rPr>
          <w:rFonts w:ascii="Arial" w:hAnsi="Arial" w:cs="Arial"/>
          <w:color w:val="000000"/>
          <w:sz w:val="27"/>
          <w:szCs w:val="27"/>
        </w:rPr>
        <w:t>Organizer: Taitung County Government</w:t>
      </w:r>
    </w:p>
    <w:p w:rsidR="004B6F38" w:rsidRDefault="004B6F38" w:rsidP="006B58AC">
      <w:pPr>
        <w:pStyle w:val="Web"/>
        <w:numPr>
          <w:ilvl w:val="0"/>
          <w:numId w:val="13"/>
        </w:numPr>
        <w:spacing w:before="240" w:beforeAutospacing="0" w:after="0" w:afterAutospacing="0"/>
        <w:textAlignment w:val="baseline"/>
        <w:rPr>
          <w:rFonts w:ascii="Arial" w:hAnsi="Arial" w:cs="Arial"/>
          <w:color w:val="000000"/>
          <w:sz w:val="27"/>
          <w:szCs w:val="27"/>
        </w:rPr>
      </w:pPr>
      <w:r>
        <w:rPr>
          <w:rFonts w:ascii="Arial" w:hAnsi="Arial" w:cs="Arial"/>
          <w:color w:val="000000"/>
          <w:sz w:val="27"/>
          <w:szCs w:val="27"/>
        </w:rPr>
        <w:t>Eligibility:</w:t>
      </w:r>
    </w:p>
    <w:p w:rsidR="004B6F38" w:rsidRDefault="004B6F38" w:rsidP="006B58AC">
      <w:pPr>
        <w:pStyle w:val="Web"/>
        <w:numPr>
          <w:ilvl w:val="1"/>
          <w:numId w:val="14"/>
        </w:numPr>
        <w:spacing w:before="240" w:beforeAutospacing="0" w:after="0" w:afterAutospacing="0"/>
        <w:ind w:left="960"/>
        <w:textAlignment w:val="baseline"/>
        <w:rPr>
          <w:rFonts w:ascii="Arial" w:hAnsi="Arial" w:cs="Arial"/>
          <w:color w:val="000000"/>
          <w:sz w:val="27"/>
          <w:szCs w:val="27"/>
        </w:rPr>
      </w:pPr>
      <w:r>
        <w:rPr>
          <w:rFonts w:ascii="Arial" w:hAnsi="Arial" w:cs="Arial"/>
          <w:color w:val="000000"/>
          <w:sz w:val="27"/>
          <w:szCs w:val="27"/>
        </w:rPr>
        <w:t>No nationality restrictions.</w:t>
      </w:r>
    </w:p>
    <w:p w:rsidR="004B6F38" w:rsidRDefault="004B6F38" w:rsidP="006B58AC">
      <w:pPr>
        <w:pStyle w:val="Web"/>
        <w:numPr>
          <w:ilvl w:val="1"/>
          <w:numId w:val="14"/>
        </w:numPr>
        <w:spacing w:before="240" w:beforeAutospacing="0" w:after="0" w:afterAutospacing="0"/>
        <w:ind w:left="960"/>
        <w:textAlignment w:val="baseline"/>
        <w:rPr>
          <w:rFonts w:ascii="Arial" w:hAnsi="Arial" w:cs="Arial"/>
          <w:color w:val="000000"/>
          <w:sz w:val="27"/>
          <w:szCs w:val="27"/>
        </w:rPr>
      </w:pPr>
      <w:r>
        <w:rPr>
          <w:rFonts w:ascii="Arial" w:hAnsi="Arial" w:cs="Arial"/>
          <w:color w:val="000000"/>
          <w:sz w:val="27"/>
          <w:szCs w:val="27"/>
        </w:rPr>
        <w:t>Individuals or groups with at least 2 years of experience in Indigenous culture, contemporary art, design, video, music, dance, technology innovation, sustainable agriculture, installation art, and aesthetics, or those interested in Indigenous cultural arts.</w:t>
      </w:r>
    </w:p>
    <w:p w:rsidR="004B6F38" w:rsidRDefault="004B6F38" w:rsidP="006B58AC">
      <w:pPr>
        <w:pStyle w:val="Web"/>
        <w:numPr>
          <w:ilvl w:val="0"/>
          <w:numId w:val="14"/>
        </w:numPr>
        <w:spacing w:before="240" w:beforeAutospacing="0" w:after="0" w:afterAutospacing="0"/>
        <w:textAlignment w:val="baseline"/>
        <w:rPr>
          <w:rFonts w:ascii="Arial" w:hAnsi="Arial" w:cs="Arial"/>
          <w:color w:val="000000"/>
          <w:sz w:val="27"/>
          <w:szCs w:val="27"/>
        </w:rPr>
      </w:pPr>
      <w:r>
        <w:rPr>
          <w:rFonts w:ascii="Arial" w:hAnsi="Arial" w:cs="Arial"/>
          <w:color w:val="000000"/>
          <w:sz w:val="27"/>
          <w:szCs w:val="27"/>
        </w:rPr>
        <w:t>Application Period: Submit applications 2 months before the planned residency period.</w:t>
      </w:r>
    </w:p>
    <w:p w:rsidR="004B6F38" w:rsidRDefault="004B6F38" w:rsidP="006B58AC">
      <w:pPr>
        <w:pStyle w:val="Web"/>
        <w:numPr>
          <w:ilvl w:val="0"/>
          <w:numId w:val="14"/>
        </w:numPr>
        <w:spacing w:before="240" w:beforeAutospacing="0" w:after="0" w:afterAutospacing="0"/>
        <w:textAlignment w:val="baseline"/>
        <w:rPr>
          <w:rFonts w:ascii="Arial" w:hAnsi="Arial" w:cs="Arial"/>
          <w:color w:val="000000"/>
          <w:sz w:val="27"/>
          <w:szCs w:val="27"/>
        </w:rPr>
      </w:pPr>
      <w:r>
        <w:rPr>
          <w:rFonts w:ascii="Arial" w:hAnsi="Arial" w:cs="Arial"/>
          <w:color w:val="000000"/>
          <w:sz w:val="27"/>
          <w:szCs w:val="27"/>
        </w:rPr>
        <w:t>Required Application Materials:</w:t>
      </w:r>
    </w:p>
    <w:p w:rsidR="004B6F38" w:rsidRDefault="004B6F38" w:rsidP="006B58AC">
      <w:pPr>
        <w:pStyle w:val="Web"/>
        <w:numPr>
          <w:ilvl w:val="1"/>
          <w:numId w:val="14"/>
        </w:numPr>
        <w:spacing w:before="240" w:beforeAutospacing="0" w:after="0" w:afterAutospacing="0"/>
        <w:ind w:left="960"/>
        <w:textAlignment w:val="baseline"/>
        <w:rPr>
          <w:rFonts w:ascii="Arial" w:hAnsi="Arial" w:cs="Arial"/>
          <w:color w:val="000000"/>
          <w:sz w:val="27"/>
          <w:szCs w:val="27"/>
        </w:rPr>
      </w:pPr>
      <w:r>
        <w:rPr>
          <w:rFonts w:ascii="Arial" w:hAnsi="Arial" w:cs="Arial"/>
          <w:color w:val="000000"/>
          <w:sz w:val="27"/>
          <w:szCs w:val="27"/>
        </w:rPr>
        <w:t>One application form.</w:t>
      </w:r>
    </w:p>
    <w:p w:rsidR="004B6F38" w:rsidRDefault="004B6F38" w:rsidP="006B58AC">
      <w:pPr>
        <w:pStyle w:val="Web"/>
        <w:numPr>
          <w:ilvl w:val="1"/>
          <w:numId w:val="14"/>
        </w:numPr>
        <w:spacing w:before="240" w:beforeAutospacing="0" w:after="0" w:afterAutospacing="0"/>
        <w:ind w:left="960"/>
        <w:textAlignment w:val="baseline"/>
        <w:rPr>
          <w:rFonts w:ascii="Arial" w:hAnsi="Arial" w:cs="Arial"/>
          <w:color w:val="000000"/>
          <w:sz w:val="27"/>
          <w:szCs w:val="27"/>
        </w:rPr>
      </w:pPr>
      <w:r>
        <w:rPr>
          <w:rFonts w:ascii="Arial" w:hAnsi="Arial" w:cs="Arial"/>
          <w:color w:val="000000"/>
          <w:sz w:val="27"/>
          <w:szCs w:val="27"/>
        </w:rPr>
        <w:t>One residency feedback plan.</w:t>
      </w:r>
    </w:p>
    <w:p w:rsidR="004B6F38" w:rsidRDefault="004B6F38" w:rsidP="006B58AC">
      <w:pPr>
        <w:pStyle w:val="Web"/>
        <w:numPr>
          <w:ilvl w:val="0"/>
          <w:numId w:val="14"/>
        </w:numPr>
        <w:spacing w:before="240" w:beforeAutospacing="0" w:after="0" w:afterAutospacing="0"/>
        <w:textAlignment w:val="baseline"/>
        <w:rPr>
          <w:rFonts w:ascii="Arial" w:hAnsi="Arial" w:cs="Arial"/>
          <w:color w:val="000000"/>
          <w:sz w:val="27"/>
          <w:szCs w:val="27"/>
        </w:rPr>
      </w:pPr>
      <w:r>
        <w:rPr>
          <w:rFonts w:ascii="Arial" w:hAnsi="Arial" w:cs="Arial"/>
          <w:color w:val="000000"/>
          <w:sz w:val="27"/>
          <w:szCs w:val="27"/>
        </w:rPr>
        <w:t>Residency Period: March 1st to November 30th each year.</w:t>
      </w:r>
    </w:p>
    <w:p w:rsidR="004B6F38" w:rsidRDefault="004B6F38" w:rsidP="006B58AC">
      <w:pPr>
        <w:pStyle w:val="Web"/>
        <w:numPr>
          <w:ilvl w:val="0"/>
          <w:numId w:val="14"/>
        </w:numPr>
        <w:spacing w:before="240" w:beforeAutospacing="0" w:after="0" w:afterAutospacing="0"/>
        <w:textAlignment w:val="baseline"/>
        <w:rPr>
          <w:rFonts w:ascii="Arial" w:hAnsi="Arial" w:cs="Arial"/>
          <w:color w:val="000000"/>
          <w:sz w:val="27"/>
          <w:szCs w:val="27"/>
        </w:rPr>
      </w:pPr>
      <w:r>
        <w:rPr>
          <w:rFonts w:ascii="Arial" w:hAnsi="Arial" w:cs="Arial"/>
          <w:color w:val="000000"/>
          <w:sz w:val="27"/>
          <w:szCs w:val="27"/>
        </w:rPr>
        <w:t>Duration of Residency: Maximum of 90 days. Extensions require 15 days' notice and approval from the organizer.</w:t>
      </w:r>
    </w:p>
    <w:p w:rsidR="004B6F38" w:rsidRDefault="004B6F38" w:rsidP="006B58AC">
      <w:pPr>
        <w:pStyle w:val="Web"/>
        <w:numPr>
          <w:ilvl w:val="0"/>
          <w:numId w:val="14"/>
        </w:numPr>
        <w:spacing w:before="240" w:beforeAutospacing="0" w:after="0" w:afterAutospacing="0"/>
        <w:textAlignment w:val="baseline"/>
        <w:rPr>
          <w:rFonts w:ascii="Arial" w:hAnsi="Arial" w:cs="Arial"/>
          <w:color w:val="000000"/>
          <w:sz w:val="27"/>
          <w:szCs w:val="27"/>
        </w:rPr>
      </w:pPr>
      <w:r>
        <w:rPr>
          <w:rFonts w:ascii="Arial" w:hAnsi="Arial" w:cs="Arial"/>
          <w:color w:val="000000"/>
          <w:sz w:val="27"/>
          <w:szCs w:val="27"/>
        </w:rPr>
        <w:lastRenderedPageBreak/>
        <w:t>Application Method:</w:t>
      </w:r>
      <w:r>
        <w:rPr>
          <w:rFonts w:ascii="Arial" w:hAnsi="Arial" w:cs="Arial"/>
          <w:color w:val="000000"/>
          <w:sz w:val="27"/>
          <w:szCs w:val="27"/>
        </w:rPr>
        <w:br/>
        <w:t>Submit 5 copies of the application form and relevant materials by mail or in person to:</w:t>
      </w:r>
      <w:r>
        <w:rPr>
          <w:rFonts w:ascii="Arial" w:hAnsi="Arial" w:cs="Arial"/>
          <w:color w:val="000000"/>
          <w:sz w:val="27"/>
          <w:szCs w:val="27"/>
        </w:rPr>
        <w:br/>
        <w:t xml:space="preserve">TTICC Artist Residency Selection Project - Working Group, 82 Tiehua Road, Taitung City (TTICC Indigenous Cultural and Creative </w:t>
      </w:r>
      <w:r w:rsidR="00245EC5">
        <w:rPr>
          <w:rFonts w:ascii="Arial" w:hAnsi="Arial" w:cs="Arial"/>
          <w:color w:val="000000"/>
          <w:sz w:val="27"/>
          <w:szCs w:val="27"/>
        </w:rPr>
        <w:t>Industries</w:t>
      </w:r>
      <w:r>
        <w:rPr>
          <w:rFonts w:ascii="Arial" w:hAnsi="Arial" w:cs="Arial"/>
          <w:color w:val="000000"/>
          <w:sz w:val="27"/>
          <w:szCs w:val="27"/>
        </w:rPr>
        <w:t xml:space="preserve"> </w:t>
      </w:r>
      <w:r w:rsidR="00245EC5">
        <w:rPr>
          <w:rFonts w:ascii="Arial" w:hAnsi="Arial" w:cs="Arial"/>
          <w:color w:val="000000"/>
          <w:sz w:val="27"/>
          <w:szCs w:val="27"/>
        </w:rPr>
        <w:t>Park</w:t>
      </w:r>
      <w:r>
        <w:rPr>
          <w:rFonts w:ascii="Arial" w:hAnsi="Arial" w:cs="Arial"/>
          <w:color w:val="000000"/>
          <w:sz w:val="27"/>
          <w:szCs w:val="27"/>
        </w:rPr>
        <w:t>)</w:t>
      </w:r>
    </w:p>
    <w:p w:rsidR="004B6F38" w:rsidRDefault="004B6F38" w:rsidP="006B58AC">
      <w:pPr>
        <w:pStyle w:val="Web"/>
        <w:numPr>
          <w:ilvl w:val="0"/>
          <w:numId w:val="14"/>
        </w:numPr>
        <w:spacing w:before="240" w:beforeAutospacing="0" w:after="0" w:afterAutospacing="0"/>
        <w:textAlignment w:val="baseline"/>
        <w:rPr>
          <w:rFonts w:ascii="Arial" w:hAnsi="Arial" w:cs="Arial"/>
          <w:color w:val="000000"/>
          <w:sz w:val="27"/>
          <w:szCs w:val="27"/>
        </w:rPr>
      </w:pPr>
      <w:r>
        <w:rPr>
          <w:rFonts w:ascii="Arial" w:hAnsi="Arial" w:cs="Arial"/>
          <w:color w:val="000000"/>
          <w:sz w:val="27"/>
          <w:szCs w:val="27"/>
        </w:rPr>
        <w:t>Selection Process: Organizer will review applications and notify applicants of results.</w:t>
      </w:r>
    </w:p>
    <w:p w:rsidR="004B6F38" w:rsidRDefault="004B6F38" w:rsidP="006B58AC">
      <w:pPr>
        <w:pStyle w:val="Web"/>
        <w:numPr>
          <w:ilvl w:val="0"/>
          <w:numId w:val="14"/>
        </w:numPr>
        <w:spacing w:before="240" w:beforeAutospacing="0" w:after="0" w:afterAutospacing="0"/>
        <w:textAlignment w:val="baseline"/>
        <w:rPr>
          <w:rFonts w:ascii="Arial" w:hAnsi="Arial" w:cs="Arial"/>
          <w:color w:val="000000"/>
          <w:sz w:val="27"/>
          <w:szCs w:val="27"/>
        </w:rPr>
      </w:pPr>
      <w:r>
        <w:rPr>
          <w:rFonts w:ascii="Arial" w:hAnsi="Arial" w:cs="Arial"/>
          <w:color w:val="000000"/>
          <w:sz w:val="27"/>
          <w:szCs w:val="27"/>
        </w:rPr>
        <w:t xml:space="preserve">Residency Location: TTICC Indigenous Cultural and Creative </w:t>
      </w:r>
      <w:r w:rsidR="00245EC5">
        <w:rPr>
          <w:rFonts w:ascii="Arial" w:hAnsi="Arial" w:cs="Arial"/>
          <w:color w:val="000000"/>
          <w:sz w:val="27"/>
          <w:szCs w:val="27"/>
        </w:rPr>
        <w:t>Industries</w:t>
      </w:r>
      <w:r>
        <w:rPr>
          <w:rFonts w:ascii="Arial" w:hAnsi="Arial" w:cs="Arial"/>
          <w:color w:val="000000"/>
          <w:sz w:val="27"/>
          <w:szCs w:val="27"/>
        </w:rPr>
        <w:t xml:space="preserve"> </w:t>
      </w:r>
      <w:r w:rsidR="00245EC5">
        <w:rPr>
          <w:rFonts w:ascii="Arial" w:hAnsi="Arial" w:cs="Arial"/>
          <w:color w:val="000000"/>
          <w:sz w:val="27"/>
          <w:szCs w:val="27"/>
        </w:rPr>
        <w:t>Park</w:t>
      </w:r>
      <w:r>
        <w:rPr>
          <w:rFonts w:ascii="Arial" w:hAnsi="Arial" w:cs="Arial"/>
          <w:color w:val="000000"/>
          <w:sz w:val="27"/>
          <w:szCs w:val="27"/>
        </w:rPr>
        <w:t xml:space="preserve"> (82 Tiehua Road, Taitung City)</w:t>
      </w:r>
    </w:p>
    <w:p w:rsidR="004B6F38" w:rsidRDefault="004B6F38" w:rsidP="006B58AC">
      <w:pPr>
        <w:pStyle w:val="Web"/>
        <w:numPr>
          <w:ilvl w:val="0"/>
          <w:numId w:val="14"/>
        </w:numPr>
        <w:spacing w:before="240" w:beforeAutospacing="0" w:after="0" w:afterAutospacing="0"/>
        <w:textAlignment w:val="baseline"/>
        <w:rPr>
          <w:rFonts w:ascii="Arial" w:hAnsi="Arial" w:cs="Arial"/>
          <w:color w:val="000000"/>
          <w:sz w:val="27"/>
          <w:szCs w:val="27"/>
        </w:rPr>
      </w:pPr>
      <w:r>
        <w:rPr>
          <w:rFonts w:ascii="Arial" w:hAnsi="Arial" w:cs="Arial"/>
          <w:color w:val="000000"/>
          <w:sz w:val="27"/>
          <w:szCs w:val="27"/>
        </w:rPr>
        <w:t>Facilities Provided During Residency:</w:t>
      </w:r>
    </w:p>
    <w:p w:rsidR="004B6F38" w:rsidRDefault="004B6F38" w:rsidP="006B58AC">
      <w:pPr>
        <w:pStyle w:val="Web"/>
        <w:numPr>
          <w:ilvl w:val="1"/>
          <w:numId w:val="14"/>
        </w:numPr>
        <w:spacing w:before="240" w:beforeAutospacing="0" w:after="0" w:afterAutospacing="0"/>
        <w:ind w:left="960"/>
        <w:textAlignment w:val="baseline"/>
        <w:rPr>
          <w:rFonts w:ascii="Arial" w:hAnsi="Arial" w:cs="Arial"/>
          <w:color w:val="000000"/>
          <w:sz w:val="27"/>
          <w:szCs w:val="27"/>
        </w:rPr>
      </w:pPr>
      <w:r>
        <w:rPr>
          <w:rFonts w:ascii="Arial" w:hAnsi="Arial" w:cs="Arial"/>
          <w:color w:val="000000"/>
          <w:sz w:val="27"/>
          <w:szCs w:val="27"/>
        </w:rPr>
        <w:t>Accommodation: one suite (with air conditioning, bed, desk, chair, bathroom, hairdryer); electricity and water charged at 5 NTD per unit.</w:t>
      </w:r>
    </w:p>
    <w:p w:rsidR="004B6F38" w:rsidRDefault="004B6F38" w:rsidP="006B58AC">
      <w:pPr>
        <w:pStyle w:val="Web"/>
        <w:numPr>
          <w:ilvl w:val="1"/>
          <w:numId w:val="14"/>
        </w:numPr>
        <w:spacing w:before="240" w:beforeAutospacing="0" w:after="0" w:afterAutospacing="0"/>
        <w:ind w:left="960"/>
        <w:textAlignment w:val="baseline"/>
        <w:rPr>
          <w:rFonts w:ascii="Arial" w:hAnsi="Arial" w:cs="Arial"/>
          <w:color w:val="000000"/>
          <w:sz w:val="27"/>
          <w:szCs w:val="27"/>
        </w:rPr>
      </w:pPr>
      <w:r>
        <w:rPr>
          <w:rFonts w:ascii="Arial" w:hAnsi="Arial" w:cs="Arial"/>
          <w:color w:val="000000"/>
          <w:sz w:val="27"/>
          <w:szCs w:val="27"/>
        </w:rPr>
        <w:t>Studio: one room (with desk, chair, cabinet, air conditioning).</w:t>
      </w:r>
    </w:p>
    <w:p w:rsidR="004B6F38" w:rsidRDefault="004B6F38" w:rsidP="006B58AC">
      <w:pPr>
        <w:pStyle w:val="Web"/>
        <w:numPr>
          <w:ilvl w:val="1"/>
          <w:numId w:val="14"/>
        </w:numPr>
        <w:spacing w:before="240" w:beforeAutospacing="0" w:after="0" w:afterAutospacing="0"/>
        <w:ind w:left="960"/>
        <w:textAlignment w:val="baseline"/>
        <w:rPr>
          <w:rFonts w:ascii="Arial" w:hAnsi="Arial" w:cs="Arial"/>
          <w:color w:val="000000"/>
          <w:sz w:val="27"/>
          <w:szCs w:val="27"/>
        </w:rPr>
      </w:pPr>
      <w:r>
        <w:rPr>
          <w:rFonts w:ascii="Arial" w:hAnsi="Arial" w:cs="Arial"/>
          <w:color w:val="000000"/>
          <w:sz w:val="27"/>
          <w:szCs w:val="27"/>
        </w:rPr>
        <w:t xml:space="preserve">Other facilities: creative studio, dance and music lab, 3D lab, 2D lab, high-temperature lab, recording studio (subject to </w:t>
      </w:r>
      <w:r w:rsidR="00245EC5">
        <w:rPr>
          <w:rFonts w:ascii="Arial" w:hAnsi="Arial" w:cs="Arial"/>
          <w:color w:val="000000"/>
          <w:sz w:val="27"/>
          <w:szCs w:val="27"/>
        </w:rPr>
        <w:t>Park</w:t>
      </w:r>
      <w:r>
        <w:rPr>
          <w:rFonts w:ascii="Arial" w:hAnsi="Arial" w:cs="Arial"/>
          <w:color w:val="000000"/>
          <w:sz w:val="27"/>
          <w:szCs w:val="27"/>
        </w:rPr>
        <w:t xml:space="preserve"> rules for borrowing).</w:t>
      </w:r>
    </w:p>
    <w:p w:rsidR="004B6F38" w:rsidRDefault="004B6F38" w:rsidP="006B58AC">
      <w:pPr>
        <w:pStyle w:val="Web"/>
        <w:numPr>
          <w:ilvl w:val="0"/>
          <w:numId w:val="14"/>
        </w:numPr>
        <w:spacing w:before="240" w:beforeAutospacing="0" w:after="0" w:afterAutospacing="0"/>
        <w:textAlignment w:val="baseline"/>
        <w:rPr>
          <w:rFonts w:ascii="Arial" w:hAnsi="Arial" w:cs="Arial"/>
          <w:color w:val="000000"/>
          <w:sz w:val="27"/>
          <w:szCs w:val="27"/>
        </w:rPr>
      </w:pPr>
      <w:r>
        <w:rPr>
          <w:rFonts w:ascii="Arial" w:hAnsi="Arial" w:cs="Arial"/>
          <w:color w:val="000000"/>
          <w:sz w:val="27"/>
          <w:szCs w:val="27"/>
        </w:rPr>
        <w:t>Residency Expenses Provided:</w:t>
      </w:r>
    </w:p>
    <w:p w:rsidR="004B6F38" w:rsidRDefault="004B6F38" w:rsidP="006B58AC">
      <w:pPr>
        <w:pStyle w:val="Web"/>
        <w:numPr>
          <w:ilvl w:val="1"/>
          <w:numId w:val="14"/>
        </w:numPr>
        <w:spacing w:before="240" w:beforeAutospacing="0" w:after="0" w:afterAutospacing="0"/>
        <w:ind w:left="960"/>
        <w:textAlignment w:val="baseline"/>
        <w:rPr>
          <w:rFonts w:ascii="Arial" w:hAnsi="Arial" w:cs="Arial"/>
          <w:color w:val="000000"/>
          <w:sz w:val="27"/>
          <w:szCs w:val="27"/>
        </w:rPr>
      </w:pPr>
      <w:r>
        <w:rPr>
          <w:rFonts w:ascii="Arial" w:hAnsi="Arial" w:cs="Arial"/>
          <w:color w:val="000000"/>
          <w:sz w:val="27"/>
          <w:szCs w:val="27"/>
        </w:rPr>
        <w:t>Maximum grant of 40,000 NTD for materials, equipment, presentations, lectures, workshops, exhibitions, accommodation, design, printing, or licensing fees.</w:t>
      </w:r>
    </w:p>
    <w:p w:rsidR="004B6F38" w:rsidRDefault="004B6F38" w:rsidP="006B58AC">
      <w:pPr>
        <w:pStyle w:val="Web"/>
        <w:numPr>
          <w:ilvl w:val="1"/>
          <w:numId w:val="14"/>
        </w:numPr>
        <w:spacing w:before="240" w:beforeAutospacing="0" w:after="0" w:afterAutospacing="0"/>
        <w:ind w:left="960"/>
        <w:textAlignment w:val="baseline"/>
        <w:rPr>
          <w:rFonts w:ascii="Arial" w:hAnsi="Arial" w:cs="Arial"/>
          <w:color w:val="000000"/>
          <w:sz w:val="27"/>
          <w:szCs w:val="27"/>
        </w:rPr>
      </w:pPr>
      <w:r>
        <w:rPr>
          <w:rFonts w:ascii="Arial" w:hAnsi="Arial" w:cs="Arial"/>
          <w:color w:val="000000"/>
          <w:sz w:val="27"/>
          <w:szCs w:val="27"/>
        </w:rPr>
        <w:t>Artists must list expenses in the application and submit receipts, expense statements, and residency reports for reimbursement.</w:t>
      </w:r>
    </w:p>
    <w:p w:rsidR="004B6F38" w:rsidRDefault="004B6F38" w:rsidP="006B58AC">
      <w:pPr>
        <w:pStyle w:val="Web"/>
        <w:numPr>
          <w:ilvl w:val="0"/>
          <w:numId w:val="14"/>
        </w:numPr>
        <w:spacing w:before="240" w:beforeAutospacing="0" w:after="0" w:afterAutospacing="0"/>
        <w:textAlignment w:val="baseline"/>
        <w:rPr>
          <w:rFonts w:ascii="Arial" w:hAnsi="Arial" w:cs="Arial"/>
          <w:color w:val="000000"/>
          <w:sz w:val="27"/>
          <w:szCs w:val="27"/>
        </w:rPr>
      </w:pPr>
      <w:r>
        <w:rPr>
          <w:rFonts w:ascii="Arial" w:hAnsi="Arial" w:cs="Arial"/>
          <w:color w:val="000000"/>
          <w:sz w:val="27"/>
          <w:szCs w:val="27"/>
        </w:rPr>
        <w:t>Artist Rights and Obligations:</w:t>
      </w:r>
    </w:p>
    <w:p w:rsidR="004B6F38" w:rsidRDefault="004B6F38" w:rsidP="006B58AC">
      <w:pPr>
        <w:pStyle w:val="Web"/>
        <w:numPr>
          <w:ilvl w:val="1"/>
          <w:numId w:val="14"/>
        </w:numPr>
        <w:spacing w:before="240" w:beforeAutospacing="0" w:after="0" w:afterAutospacing="0"/>
        <w:ind w:left="960"/>
        <w:textAlignment w:val="baseline"/>
        <w:rPr>
          <w:rFonts w:ascii="Arial" w:hAnsi="Arial" w:cs="Arial"/>
          <w:color w:val="000000"/>
          <w:sz w:val="27"/>
          <w:szCs w:val="27"/>
        </w:rPr>
      </w:pPr>
      <w:r>
        <w:rPr>
          <w:rFonts w:ascii="Arial" w:hAnsi="Arial" w:cs="Arial"/>
          <w:color w:val="000000"/>
          <w:sz w:val="27"/>
          <w:szCs w:val="27"/>
        </w:rPr>
        <w:t>Feedback Items:</w:t>
      </w:r>
    </w:p>
    <w:p w:rsidR="004B6F38" w:rsidRDefault="004B6F38" w:rsidP="006B58AC">
      <w:pPr>
        <w:pStyle w:val="Web"/>
        <w:numPr>
          <w:ilvl w:val="2"/>
          <w:numId w:val="14"/>
        </w:numPr>
        <w:spacing w:before="240" w:beforeAutospacing="0" w:after="0" w:afterAutospacing="0"/>
        <w:ind w:left="960"/>
        <w:textAlignment w:val="baseline"/>
        <w:rPr>
          <w:rFonts w:ascii="Arial" w:hAnsi="Arial" w:cs="Arial"/>
          <w:color w:val="000000"/>
          <w:sz w:val="27"/>
          <w:szCs w:val="27"/>
        </w:rPr>
      </w:pPr>
      <w:r>
        <w:rPr>
          <w:rFonts w:ascii="Arial" w:hAnsi="Arial" w:cs="Arial"/>
          <w:color w:val="000000"/>
          <w:sz w:val="27"/>
          <w:szCs w:val="27"/>
        </w:rPr>
        <w:t>At least one presentation, lecture, or workshop during residency, preferably at TTICC, completed 14 days before departure.</w:t>
      </w:r>
    </w:p>
    <w:p w:rsidR="004B6F38" w:rsidRDefault="004B6F38" w:rsidP="006B58AC">
      <w:pPr>
        <w:pStyle w:val="Web"/>
        <w:numPr>
          <w:ilvl w:val="2"/>
          <w:numId w:val="14"/>
        </w:numPr>
        <w:spacing w:before="240" w:beforeAutospacing="0" w:after="0" w:afterAutospacing="0"/>
        <w:ind w:left="960"/>
        <w:textAlignment w:val="baseline"/>
        <w:rPr>
          <w:rFonts w:ascii="Arial" w:hAnsi="Arial" w:cs="Arial"/>
          <w:color w:val="000000"/>
          <w:sz w:val="27"/>
          <w:szCs w:val="27"/>
        </w:rPr>
      </w:pPr>
      <w:r>
        <w:rPr>
          <w:rFonts w:ascii="Arial" w:hAnsi="Arial" w:cs="Arial"/>
          <w:color w:val="000000"/>
          <w:sz w:val="27"/>
          <w:szCs w:val="27"/>
        </w:rPr>
        <w:lastRenderedPageBreak/>
        <w:t>Provide at least one artwork created during residency, submitted 14 days before departure.</w:t>
      </w:r>
    </w:p>
    <w:p w:rsidR="004B6F38" w:rsidRDefault="004B6F38" w:rsidP="006B58AC">
      <w:pPr>
        <w:pStyle w:val="Web"/>
        <w:numPr>
          <w:ilvl w:val="2"/>
          <w:numId w:val="14"/>
        </w:numPr>
        <w:spacing w:before="240" w:beforeAutospacing="0" w:after="0" w:afterAutospacing="0"/>
        <w:ind w:left="960"/>
        <w:textAlignment w:val="baseline"/>
        <w:rPr>
          <w:rFonts w:ascii="Arial" w:hAnsi="Arial" w:cs="Arial"/>
          <w:color w:val="000000"/>
          <w:sz w:val="27"/>
          <w:szCs w:val="27"/>
        </w:rPr>
      </w:pPr>
      <w:r>
        <w:rPr>
          <w:rFonts w:ascii="Arial" w:hAnsi="Arial" w:cs="Arial"/>
          <w:color w:val="000000"/>
          <w:sz w:val="27"/>
          <w:szCs w:val="27"/>
        </w:rPr>
        <w:t>Licensing matters follow copyright laws; artists are copyright holders, while organizers own property rights or negotiate with artists.</w:t>
      </w:r>
    </w:p>
    <w:p w:rsidR="004B6F38" w:rsidRDefault="004B6F38" w:rsidP="006B58AC">
      <w:pPr>
        <w:pStyle w:val="Web"/>
        <w:numPr>
          <w:ilvl w:val="1"/>
          <w:numId w:val="14"/>
        </w:numPr>
        <w:spacing w:before="240" w:beforeAutospacing="0" w:after="0" w:afterAutospacing="0"/>
        <w:ind w:left="960"/>
        <w:textAlignment w:val="baseline"/>
        <w:rPr>
          <w:rFonts w:ascii="Arial" w:hAnsi="Arial" w:cs="Arial"/>
          <w:color w:val="000000"/>
          <w:sz w:val="27"/>
          <w:szCs w:val="27"/>
        </w:rPr>
      </w:pPr>
      <w:r>
        <w:rPr>
          <w:rFonts w:ascii="Arial" w:hAnsi="Arial" w:cs="Arial"/>
          <w:color w:val="000000"/>
          <w:sz w:val="27"/>
          <w:szCs w:val="27"/>
        </w:rPr>
        <w:t>Deposit of 5,000 NTD due 15 days before residency, refundable without interest after completion of inventory handover.</w:t>
      </w:r>
    </w:p>
    <w:p w:rsidR="004B6F38" w:rsidRDefault="004B6F38" w:rsidP="006B58AC">
      <w:pPr>
        <w:pStyle w:val="Web"/>
        <w:numPr>
          <w:ilvl w:val="1"/>
          <w:numId w:val="14"/>
        </w:numPr>
        <w:spacing w:before="240" w:beforeAutospacing="0" w:after="0" w:afterAutospacing="0"/>
        <w:ind w:left="960"/>
        <w:textAlignment w:val="baseline"/>
        <w:rPr>
          <w:rFonts w:ascii="Arial" w:hAnsi="Arial" w:cs="Arial"/>
          <w:color w:val="000000"/>
          <w:sz w:val="27"/>
          <w:szCs w:val="27"/>
        </w:rPr>
      </w:pPr>
      <w:r>
        <w:rPr>
          <w:rFonts w:ascii="Arial" w:hAnsi="Arial" w:cs="Arial"/>
          <w:color w:val="000000"/>
          <w:sz w:val="27"/>
          <w:szCs w:val="27"/>
        </w:rPr>
        <w:t xml:space="preserve">Artists must ensure no copyright infringement; artists are liable for damages caused to </w:t>
      </w:r>
      <w:r w:rsidR="00245EC5">
        <w:rPr>
          <w:rFonts w:ascii="Arial" w:hAnsi="Arial" w:cs="Arial"/>
          <w:color w:val="000000"/>
          <w:sz w:val="27"/>
          <w:szCs w:val="27"/>
        </w:rPr>
        <w:t xml:space="preserve">the </w:t>
      </w:r>
      <w:r>
        <w:rPr>
          <w:rFonts w:ascii="Arial" w:hAnsi="Arial" w:cs="Arial"/>
          <w:color w:val="000000"/>
          <w:sz w:val="27"/>
          <w:szCs w:val="27"/>
        </w:rPr>
        <w:t>Taitung County Government.</w:t>
      </w:r>
    </w:p>
    <w:p w:rsidR="004B6F38" w:rsidRDefault="004B6F38" w:rsidP="006B58AC">
      <w:pPr>
        <w:pStyle w:val="Web"/>
        <w:numPr>
          <w:ilvl w:val="1"/>
          <w:numId w:val="14"/>
        </w:numPr>
        <w:spacing w:before="240" w:beforeAutospacing="0" w:after="0" w:afterAutospacing="0"/>
        <w:ind w:left="960"/>
        <w:textAlignment w:val="baseline"/>
        <w:rPr>
          <w:rFonts w:ascii="Arial" w:hAnsi="Arial" w:cs="Arial"/>
          <w:color w:val="000000"/>
          <w:sz w:val="27"/>
          <w:szCs w:val="27"/>
        </w:rPr>
      </w:pPr>
      <w:r>
        <w:rPr>
          <w:rFonts w:ascii="Arial" w:hAnsi="Arial" w:cs="Arial"/>
          <w:color w:val="000000"/>
          <w:sz w:val="27"/>
          <w:szCs w:val="27"/>
        </w:rPr>
        <w:t>Provide two emergency contacts; artists are responsible for any personal safety issues.</w:t>
      </w:r>
    </w:p>
    <w:p w:rsidR="004B6F38" w:rsidRDefault="004B6F38" w:rsidP="006B58AC">
      <w:pPr>
        <w:pStyle w:val="Web"/>
        <w:numPr>
          <w:ilvl w:val="1"/>
          <w:numId w:val="14"/>
        </w:numPr>
        <w:spacing w:before="240" w:beforeAutospacing="0" w:after="0" w:afterAutospacing="0"/>
        <w:ind w:left="960"/>
        <w:textAlignment w:val="baseline"/>
        <w:rPr>
          <w:rFonts w:ascii="Arial" w:hAnsi="Arial" w:cs="Arial"/>
          <w:color w:val="000000"/>
          <w:sz w:val="27"/>
          <w:szCs w:val="27"/>
        </w:rPr>
      </w:pPr>
      <w:r>
        <w:rPr>
          <w:rFonts w:ascii="Arial" w:hAnsi="Arial" w:cs="Arial"/>
          <w:color w:val="000000"/>
          <w:sz w:val="27"/>
          <w:szCs w:val="27"/>
        </w:rPr>
        <w:t>Artists cover living expenses, transportation, and other personal costs.</w:t>
      </w:r>
    </w:p>
    <w:p w:rsidR="004B6F38" w:rsidRDefault="004B6F38" w:rsidP="006B58AC">
      <w:pPr>
        <w:pStyle w:val="Web"/>
        <w:numPr>
          <w:ilvl w:val="1"/>
          <w:numId w:val="14"/>
        </w:numPr>
        <w:spacing w:before="240" w:beforeAutospacing="0" w:after="0" w:afterAutospacing="0"/>
        <w:ind w:left="960"/>
        <w:textAlignment w:val="baseline"/>
        <w:rPr>
          <w:rFonts w:ascii="Arial" w:hAnsi="Arial" w:cs="Arial"/>
          <w:color w:val="000000"/>
          <w:sz w:val="27"/>
          <w:szCs w:val="27"/>
        </w:rPr>
      </w:pPr>
      <w:r>
        <w:rPr>
          <w:rFonts w:ascii="Arial" w:hAnsi="Arial" w:cs="Arial"/>
          <w:color w:val="000000"/>
          <w:sz w:val="27"/>
          <w:szCs w:val="27"/>
        </w:rPr>
        <w:t>Selected artists will be notified for subsequent residency arrangements.</w:t>
      </w:r>
    </w:p>
    <w:p w:rsidR="004B6F38" w:rsidRDefault="004B6F38" w:rsidP="006B58AC">
      <w:pPr>
        <w:pStyle w:val="Web"/>
        <w:numPr>
          <w:ilvl w:val="0"/>
          <w:numId w:val="14"/>
        </w:numPr>
        <w:spacing w:before="240" w:beforeAutospacing="0" w:after="320" w:afterAutospacing="0"/>
        <w:textAlignment w:val="baseline"/>
        <w:rPr>
          <w:rFonts w:ascii="Arial" w:hAnsi="Arial" w:cs="Arial"/>
          <w:color w:val="000000"/>
          <w:sz w:val="27"/>
          <w:szCs w:val="27"/>
        </w:rPr>
      </w:pPr>
      <w:r>
        <w:rPr>
          <w:rFonts w:ascii="Arial" w:hAnsi="Arial" w:cs="Arial"/>
          <w:color w:val="000000"/>
          <w:sz w:val="27"/>
          <w:szCs w:val="27"/>
        </w:rPr>
        <w:t>Other Notes: If unable to attend the residency, provide a declaration and notify the organizer 14 days before the planned residency date.</w:t>
      </w:r>
    </w:p>
    <w:p w:rsidR="004B6F38" w:rsidRPr="004B6F38" w:rsidRDefault="004B6F38" w:rsidP="006B58AC">
      <w:pPr>
        <w:spacing w:before="240" w:line="460" w:lineRule="exact"/>
        <w:ind w:left="708" w:hangingChars="295" w:hanging="708"/>
        <w:rPr>
          <w:rFonts w:ascii="微軟正黑體" w:eastAsia="微軟正黑體" w:hAnsi="微軟正黑體"/>
        </w:rPr>
      </w:pPr>
    </w:p>
    <w:sectPr w:rsidR="004B6F38" w:rsidRPr="004B6F38" w:rsidSect="000D7001">
      <w:headerReference w:type="default" r:id="rId7"/>
      <w:footerReference w:type="default" r:id="rId8"/>
      <w:pgSz w:w="11906" w:h="16838"/>
      <w:pgMar w:top="993" w:right="1800" w:bottom="1276"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0A6" w:rsidRDefault="001D00A6" w:rsidP="004F10F4">
      <w:r>
        <w:separator/>
      </w:r>
    </w:p>
  </w:endnote>
  <w:endnote w:type="continuationSeparator" w:id="0">
    <w:p w:rsidR="001D00A6" w:rsidRDefault="001D00A6" w:rsidP="004F1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2759101"/>
      <w:docPartObj>
        <w:docPartGallery w:val="Page Numbers (Bottom of Page)"/>
        <w:docPartUnique/>
      </w:docPartObj>
    </w:sdtPr>
    <w:sdtEndPr/>
    <w:sdtContent>
      <w:p w:rsidR="009702BE" w:rsidRDefault="009702BE">
        <w:pPr>
          <w:pStyle w:val="a6"/>
          <w:jc w:val="center"/>
        </w:pPr>
        <w:r>
          <w:fldChar w:fldCharType="begin"/>
        </w:r>
        <w:r>
          <w:instrText>PAGE   \* MERGEFORMAT</w:instrText>
        </w:r>
        <w:r>
          <w:fldChar w:fldCharType="separate"/>
        </w:r>
        <w:r w:rsidR="004D29C8" w:rsidRPr="004D29C8">
          <w:rPr>
            <w:noProof/>
            <w:lang w:val="zh-TW"/>
          </w:rPr>
          <w:t>2</w:t>
        </w:r>
        <w:r>
          <w:fldChar w:fldCharType="end"/>
        </w:r>
      </w:p>
    </w:sdtContent>
  </w:sdt>
  <w:p w:rsidR="009702BE" w:rsidRDefault="009702B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0A6" w:rsidRDefault="001D00A6" w:rsidP="004F10F4">
      <w:r>
        <w:separator/>
      </w:r>
    </w:p>
  </w:footnote>
  <w:footnote w:type="continuationSeparator" w:id="0">
    <w:p w:rsidR="001D00A6" w:rsidRDefault="001D00A6" w:rsidP="004F10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AF9" w:rsidRPr="00284AF9" w:rsidRDefault="00284AF9" w:rsidP="00284AF9">
    <w:pPr>
      <w:pStyle w:val="a4"/>
      <w:jc w:val="right"/>
      <w:rPr>
        <w:rFonts w:ascii="微軟正黑體" w:eastAsia="微軟正黑體" w:hAnsi="微軟正黑體"/>
      </w:rPr>
    </w:pPr>
    <w:r w:rsidRPr="00284AF9">
      <w:rPr>
        <w:rFonts w:ascii="微軟正黑體" w:eastAsia="微軟正黑體" w:hAnsi="微軟正黑體" w:hint="eastAsia"/>
      </w:rPr>
      <w:t>112.02.03</w:t>
    </w:r>
    <w:r w:rsidR="000A620E">
      <w:rPr>
        <w:rFonts w:ascii="微軟正黑體" w:eastAsia="微軟正黑體" w:hAnsi="微軟正黑體" w:hint="eastAsia"/>
      </w:rPr>
      <w:t>核定版</w:t>
    </w:r>
  </w:p>
  <w:p w:rsidR="009702BE" w:rsidRDefault="009702B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8234A"/>
    <w:multiLevelType w:val="hybridMultilevel"/>
    <w:tmpl w:val="EE3C24E6"/>
    <w:lvl w:ilvl="0" w:tplc="4EDA8F8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0716209"/>
    <w:multiLevelType w:val="hybridMultilevel"/>
    <w:tmpl w:val="BBA0A176"/>
    <w:lvl w:ilvl="0" w:tplc="B186E30E">
      <w:start w:val="1"/>
      <w:numFmt w:val="taiwaneseCountingThousand"/>
      <w:lvlText w:val="（%1）"/>
      <w:lvlJc w:val="left"/>
      <w:pPr>
        <w:ind w:left="840" w:hanging="360"/>
      </w:pPr>
      <w:rPr>
        <w:rFonts w:ascii="微軟正黑體" w:eastAsia="微軟正黑體" w:hAnsi="微軟正黑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3444F48"/>
    <w:multiLevelType w:val="hybridMultilevel"/>
    <w:tmpl w:val="B7AA6718"/>
    <w:lvl w:ilvl="0" w:tplc="4BDEFEEE">
      <w:start w:val="1"/>
      <w:numFmt w:val="decimal"/>
      <w:lvlText w:val="(%1)"/>
      <w:lvlJc w:val="left"/>
      <w:pPr>
        <w:ind w:left="1980" w:hanging="42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
    <w:nsid w:val="2AAE0C03"/>
    <w:multiLevelType w:val="hybridMultilevel"/>
    <w:tmpl w:val="961AD318"/>
    <w:lvl w:ilvl="0" w:tplc="0409000F">
      <w:start w:val="1"/>
      <w:numFmt w:val="decimal"/>
      <w:lvlText w:val="%1."/>
      <w:lvlJc w:val="left"/>
      <w:pPr>
        <w:ind w:left="2040" w:hanging="480"/>
      </w:pPr>
    </w:lvl>
    <w:lvl w:ilvl="1" w:tplc="04090019" w:tentative="1">
      <w:start w:val="1"/>
      <w:numFmt w:val="ideographTraditional"/>
      <w:lvlText w:val="%2、"/>
      <w:lvlJc w:val="left"/>
      <w:pPr>
        <w:ind w:left="1565" w:hanging="480"/>
      </w:pPr>
    </w:lvl>
    <w:lvl w:ilvl="2" w:tplc="0409001B" w:tentative="1">
      <w:start w:val="1"/>
      <w:numFmt w:val="lowerRoman"/>
      <w:lvlText w:val="%3."/>
      <w:lvlJc w:val="right"/>
      <w:pPr>
        <w:ind w:left="2045" w:hanging="480"/>
      </w:pPr>
    </w:lvl>
    <w:lvl w:ilvl="3" w:tplc="0409000F">
      <w:start w:val="1"/>
      <w:numFmt w:val="decimal"/>
      <w:lvlText w:val="%4."/>
      <w:lvlJc w:val="left"/>
      <w:pPr>
        <w:ind w:left="2525" w:hanging="480"/>
      </w:pPr>
    </w:lvl>
    <w:lvl w:ilvl="4" w:tplc="04090019" w:tentative="1">
      <w:start w:val="1"/>
      <w:numFmt w:val="ideographTraditional"/>
      <w:lvlText w:val="%5、"/>
      <w:lvlJc w:val="left"/>
      <w:pPr>
        <w:ind w:left="3005" w:hanging="480"/>
      </w:pPr>
    </w:lvl>
    <w:lvl w:ilvl="5" w:tplc="0409001B" w:tentative="1">
      <w:start w:val="1"/>
      <w:numFmt w:val="lowerRoman"/>
      <w:lvlText w:val="%6."/>
      <w:lvlJc w:val="right"/>
      <w:pPr>
        <w:ind w:left="3485" w:hanging="480"/>
      </w:pPr>
    </w:lvl>
    <w:lvl w:ilvl="6" w:tplc="0409000F" w:tentative="1">
      <w:start w:val="1"/>
      <w:numFmt w:val="decimal"/>
      <w:lvlText w:val="%7."/>
      <w:lvlJc w:val="left"/>
      <w:pPr>
        <w:ind w:left="3965" w:hanging="480"/>
      </w:pPr>
    </w:lvl>
    <w:lvl w:ilvl="7" w:tplc="04090019" w:tentative="1">
      <w:start w:val="1"/>
      <w:numFmt w:val="ideographTraditional"/>
      <w:lvlText w:val="%8、"/>
      <w:lvlJc w:val="left"/>
      <w:pPr>
        <w:ind w:left="4445" w:hanging="480"/>
      </w:pPr>
    </w:lvl>
    <w:lvl w:ilvl="8" w:tplc="0409001B" w:tentative="1">
      <w:start w:val="1"/>
      <w:numFmt w:val="lowerRoman"/>
      <w:lvlText w:val="%9."/>
      <w:lvlJc w:val="right"/>
      <w:pPr>
        <w:ind w:left="4925" w:hanging="480"/>
      </w:pPr>
    </w:lvl>
  </w:abstractNum>
  <w:abstractNum w:abstractNumId="4">
    <w:nsid w:val="3DE12287"/>
    <w:multiLevelType w:val="hybridMultilevel"/>
    <w:tmpl w:val="6C16F17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3EB85BB0"/>
    <w:multiLevelType w:val="hybridMultilevel"/>
    <w:tmpl w:val="25CA3334"/>
    <w:lvl w:ilvl="0" w:tplc="33F4788C">
      <w:start w:val="1"/>
      <w:numFmt w:val="taiwaneseCountingThousand"/>
      <w:lvlText w:val="（%1）"/>
      <w:lvlJc w:val="left"/>
      <w:pPr>
        <w:ind w:left="1006" w:hanging="720"/>
      </w:pPr>
      <w:rPr>
        <w:rFonts w:hint="default"/>
      </w:rPr>
    </w:lvl>
    <w:lvl w:ilvl="1" w:tplc="DFEE50E2">
      <w:start w:val="1"/>
      <w:numFmt w:val="taiwaneseCountingThousand"/>
      <w:lvlText w:val="（%2）"/>
      <w:lvlJc w:val="left"/>
      <w:pPr>
        <w:ind w:left="1486" w:hanging="720"/>
      </w:pPr>
      <w:rPr>
        <w:rFonts w:hint="default"/>
      </w:r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6">
    <w:nsid w:val="45BA2A92"/>
    <w:multiLevelType w:val="hybridMultilevel"/>
    <w:tmpl w:val="D6C838F6"/>
    <w:lvl w:ilvl="0" w:tplc="878EB87A">
      <w:start w:val="1"/>
      <w:numFmt w:val="taiwaneseCountingThousand"/>
      <w:lvlText w:val="（%1）"/>
      <w:lvlJc w:val="left"/>
      <w:pPr>
        <w:ind w:left="1006" w:hanging="720"/>
      </w:pPr>
      <w:rPr>
        <w:rFonts w:hint="default"/>
        <w:lang w:val="en-US"/>
      </w:rPr>
    </w:lvl>
    <w:lvl w:ilvl="1" w:tplc="DFEE50E2">
      <w:start w:val="1"/>
      <w:numFmt w:val="taiwaneseCountingThousand"/>
      <w:lvlText w:val="（%2）"/>
      <w:lvlJc w:val="left"/>
      <w:pPr>
        <w:ind w:left="1486" w:hanging="720"/>
      </w:pPr>
      <w:rPr>
        <w:rFonts w:hint="default"/>
      </w:r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7">
    <w:nsid w:val="501214FD"/>
    <w:multiLevelType w:val="hybridMultilevel"/>
    <w:tmpl w:val="F7F28364"/>
    <w:lvl w:ilvl="0" w:tplc="2AFC8CEE">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5FAC023F"/>
    <w:multiLevelType w:val="hybridMultilevel"/>
    <w:tmpl w:val="A8F071CA"/>
    <w:lvl w:ilvl="0" w:tplc="B186E30E">
      <w:start w:val="1"/>
      <w:numFmt w:val="taiwaneseCountingThousand"/>
      <w:lvlText w:val="（%1）"/>
      <w:lvlJc w:val="left"/>
      <w:pPr>
        <w:ind w:left="840" w:hanging="480"/>
      </w:pPr>
      <w:rPr>
        <w:rFonts w:ascii="微軟正黑體" w:eastAsia="微軟正黑體" w:hAnsi="微軟正黑體" w:cs="Times New Roman"/>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nsid w:val="67B145E3"/>
    <w:multiLevelType w:val="hybridMultilevel"/>
    <w:tmpl w:val="20D4EEA2"/>
    <w:lvl w:ilvl="0" w:tplc="5D146654">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nsid w:val="69C876F7"/>
    <w:multiLevelType w:val="hybridMultilevel"/>
    <w:tmpl w:val="756E8602"/>
    <w:lvl w:ilvl="0" w:tplc="33F4788C">
      <w:start w:val="1"/>
      <w:numFmt w:val="taiwaneseCountingThousand"/>
      <w:lvlText w:val="（%1）"/>
      <w:lvlJc w:val="left"/>
      <w:pPr>
        <w:ind w:left="1006" w:hanging="720"/>
      </w:pPr>
      <w:rPr>
        <w:rFonts w:hint="default"/>
      </w:rPr>
    </w:lvl>
    <w:lvl w:ilvl="1" w:tplc="DFEE50E2">
      <w:start w:val="1"/>
      <w:numFmt w:val="taiwaneseCountingThousand"/>
      <w:lvlText w:val="（%2）"/>
      <w:lvlJc w:val="left"/>
      <w:pPr>
        <w:ind w:left="1486" w:hanging="720"/>
      </w:pPr>
      <w:rPr>
        <w:rFonts w:hint="default"/>
      </w:r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1">
    <w:nsid w:val="6CBE721B"/>
    <w:multiLevelType w:val="hybridMultilevel"/>
    <w:tmpl w:val="708C1818"/>
    <w:lvl w:ilvl="0" w:tplc="5D146654">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775A1A51"/>
    <w:multiLevelType w:val="multilevel"/>
    <w:tmpl w:val="809C7D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3"/>
  </w:num>
  <w:num w:numId="4">
    <w:abstractNumId w:val="2"/>
  </w:num>
  <w:num w:numId="5">
    <w:abstractNumId w:val="8"/>
  </w:num>
  <w:num w:numId="6">
    <w:abstractNumId w:val="9"/>
  </w:num>
  <w:num w:numId="7">
    <w:abstractNumId w:val="11"/>
  </w:num>
  <w:num w:numId="8">
    <w:abstractNumId w:val="7"/>
  </w:num>
  <w:num w:numId="9">
    <w:abstractNumId w:val="10"/>
  </w:num>
  <w:num w:numId="10">
    <w:abstractNumId w:val="0"/>
  </w:num>
  <w:num w:numId="11">
    <w:abstractNumId w:val="5"/>
  </w:num>
  <w:num w:numId="12">
    <w:abstractNumId w:val="6"/>
  </w:num>
  <w:num w:numId="13">
    <w:abstractNumId w:val="12"/>
  </w:num>
  <w:num w:numId="14">
    <w:abstractNumId w:val="12"/>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296"/>
    <w:rsid w:val="000A620E"/>
    <w:rsid w:val="000C3555"/>
    <w:rsid w:val="000D7001"/>
    <w:rsid w:val="0015006A"/>
    <w:rsid w:val="00181EEC"/>
    <w:rsid w:val="001D00A6"/>
    <w:rsid w:val="001E128F"/>
    <w:rsid w:val="001F00F1"/>
    <w:rsid w:val="00245EC5"/>
    <w:rsid w:val="00284AF9"/>
    <w:rsid w:val="002B6098"/>
    <w:rsid w:val="002B6407"/>
    <w:rsid w:val="002D2B82"/>
    <w:rsid w:val="002D3747"/>
    <w:rsid w:val="002D7CBB"/>
    <w:rsid w:val="004A422D"/>
    <w:rsid w:val="004B6F38"/>
    <w:rsid w:val="004D29C8"/>
    <w:rsid w:val="004F04D4"/>
    <w:rsid w:val="004F10F4"/>
    <w:rsid w:val="004F5B34"/>
    <w:rsid w:val="00526618"/>
    <w:rsid w:val="005458D6"/>
    <w:rsid w:val="005E568F"/>
    <w:rsid w:val="00633953"/>
    <w:rsid w:val="00680D69"/>
    <w:rsid w:val="006875D5"/>
    <w:rsid w:val="006B58AC"/>
    <w:rsid w:val="006B7982"/>
    <w:rsid w:val="00741E1E"/>
    <w:rsid w:val="00745718"/>
    <w:rsid w:val="0076474D"/>
    <w:rsid w:val="007B1F4A"/>
    <w:rsid w:val="00956066"/>
    <w:rsid w:val="009575F9"/>
    <w:rsid w:val="00964A0D"/>
    <w:rsid w:val="009702BE"/>
    <w:rsid w:val="009766E0"/>
    <w:rsid w:val="009D63C9"/>
    <w:rsid w:val="00A32210"/>
    <w:rsid w:val="00A6302D"/>
    <w:rsid w:val="00A638A7"/>
    <w:rsid w:val="00B62A37"/>
    <w:rsid w:val="00C35495"/>
    <w:rsid w:val="00C43298"/>
    <w:rsid w:val="00C86794"/>
    <w:rsid w:val="00C90771"/>
    <w:rsid w:val="00CA0296"/>
    <w:rsid w:val="00D02613"/>
    <w:rsid w:val="00D22552"/>
    <w:rsid w:val="00D3658F"/>
    <w:rsid w:val="00D4730F"/>
    <w:rsid w:val="00E03949"/>
    <w:rsid w:val="00E71BA5"/>
    <w:rsid w:val="00E96B2C"/>
    <w:rsid w:val="00EA2223"/>
    <w:rsid w:val="00EE5D50"/>
    <w:rsid w:val="00F237D5"/>
    <w:rsid w:val="00F37A62"/>
    <w:rsid w:val="00F81347"/>
    <w:rsid w:val="00FB3D2E"/>
    <w:rsid w:val="00FC42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B5F8B2B-2C33-4580-929F-088AB867F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296"/>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1BA5"/>
    <w:pPr>
      <w:ind w:leftChars="200" w:left="480"/>
    </w:pPr>
  </w:style>
  <w:style w:type="paragraph" w:styleId="a4">
    <w:name w:val="header"/>
    <w:basedOn w:val="a"/>
    <w:link w:val="a5"/>
    <w:uiPriority w:val="99"/>
    <w:unhideWhenUsed/>
    <w:rsid w:val="004F10F4"/>
    <w:pPr>
      <w:tabs>
        <w:tab w:val="center" w:pos="4153"/>
        <w:tab w:val="right" w:pos="8306"/>
      </w:tabs>
      <w:snapToGrid w:val="0"/>
    </w:pPr>
    <w:rPr>
      <w:sz w:val="20"/>
      <w:szCs w:val="20"/>
    </w:rPr>
  </w:style>
  <w:style w:type="character" w:customStyle="1" w:styleId="a5">
    <w:name w:val="頁首 字元"/>
    <w:basedOn w:val="a0"/>
    <w:link w:val="a4"/>
    <w:uiPriority w:val="99"/>
    <w:rsid w:val="004F10F4"/>
    <w:rPr>
      <w:rFonts w:ascii="Calibri" w:eastAsia="新細明體" w:hAnsi="Calibri" w:cs="Times New Roman"/>
      <w:sz w:val="20"/>
      <w:szCs w:val="20"/>
    </w:rPr>
  </w:style>
  <w:style w:type="paragraph" w:styleId="a6">
    <w:name w:val="footer"/>
    <w:basedOn w:val="a"/>
    <w:link w:val="a7"/>
    <w:uiPriority w:val="99"/>
    <w:unhideWhenUsed/>
    <w:rsid w:val="004F10F4"/>
    <w:pPr>
      <w:tabs>
        <w:tab w:val="center" w:pos="4153"/>
        <w:tab w:val="right" w:pos="8306"/>
      </w:tabs>
      <w:snapToGrid w:val="0"/>
    </w:pPr>
    <w:rPr>
      <w:sz w:val="20"/>
      <w:szCs w:val="20"/>
    </w:rPr>
  </w:style>
  <w:style w:type="character" w:customStyle="1" w:styleId="a7">
    <w:name w:val="頁尾 字元"/>
    <w:basedOn w:val="a0"/>
    <w:link w:val="a6"/>
    <w:uiPriority w:val="99"/>
    <w:rsid w:val="004F10F4"/>
    <w:rPr>
      <w:rFonts w:ascii="Calibri" w:eastAsia="新細明體" w:hAnsi="Calibri" w:cs="Times New Roman"/>
      <w:sz w:val="20"/>
      <w:szCs w:val="20"/>
    </w:rPr>
  </w:style>
  <w:style w:type="paragraph" w:styleId="a8">
    <w:name w:val="Balloon Text"/>
    <w:basedOn w:val="a"/>
    <w:link w:val="a9"/>
    <w:uiPriority w:val="99"/>
    <w:semiHidden/>
    <w:unhideWhenUsed/>
    <w:rsid w:val="0095606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56066"/>
    <w:rPr>
      <w:rFonts w:asciiTheme="majorHAnsi" w:eastAsiaTheme="majorEastAsia" w:hAnsiTheme="majorHAnsi" w:cstheme="majorBidi"/>
      <w:sz w:val="18"/>
      <w:szCs w:val="18"/>
    </w:rPr>
  </w:style>
  <w:style w:type="paragraph" w:styleId="Web">
    <w:name w:val="Normal (Web)"/>
    <w:basedOn w:val="a"/>
    <w:uiPriority w:val="99"/>
    <w:semiHidden/>
    <w:unhideWhenUsed/>
    <w:rsid w:val="004B6F38"/>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61614">
      <w:bodyDiv w:val="1"/>
      <w:marLeft w:val="0"/>
      <w:marRight w:val="0"/>
      <w:marTop w:val="0"/>
      <w:marBottom w:val="0"/>
      <w:divBdr>
        <w:top w:val="none" w:sz="0" w:space="0" w:color="auto"/>
        <w:left w:val="none" w:sz="0" w:space="0" w:color="auto"/>
        <w:bottom w:val="none" w:sz="0" w:space="0" w:color="auto"/>
        <w:right w:val="none" w:sz="0" w:space="0" w:color="auto"/>
      </w:divBdr>
    </w:div>
    <w:div w:id="524640824">
      <w:bodyDiv w:val="1"/>
      <w:marLeft w:val="0"/>
      <w:marRight w:val="0"/>
      <w:marTop w:val="0"/>
      <w:marBottom w:val="0"/>
      <w:divBdr>
        <w:top w:val="none" w:sz="0" w:space="0" w:color="auto"/>
        <w:left w:val="none" w:sz="0" w:space="0" w:color="auto"/>
        <w:bottom w:val="none" w:sz="0" w:space="0" w:color="auto"/>
        <w:right w:val="none" w:sz="0" w:space="0" w:color="auto"/>
      </w:divBdr>
    </w:div>
    <w:div w:id="619604454">
      <w:bodyDiv w:val="1"/>
      <w:marLeft w:val="0"/>
      <w:marRight w:val="0"/>
      <w:marTop w:val="0"/>
      <w:marBottom w:val="0"/>
      <w:divBdr>
        <w:top w:val="none" w:sz="0" w:space="0" w:color="auto"/>
        <w:left w:val="none" w:sz="0" w:space="0" w:color="auto"/>
        <w:bottom w:val="none" w:sz="0" w:space="0" w:color="auto"/>
        <w:right w:val="none" w:sz="0" w:space="0" w:color="auto"/>
      </w:divBdr>
    </w:div>
    <w:div w:id="1736590815">
      <w:bodyDiv w:val="1"/>
      <w:marLeft w:val="0"/>
      <w:marRight w:val="0"/>
      <w:marTop w:val="0"/>
      <w:marBottom w:val="0"/>
      <w:divBdr>
        <w:top w:val="none" w:sz="0" w:space="0" w:color="auto"/>
        <w:left w:val="none" w:sz="0" w:space="0" w:color="auto"/>
        <w:bottom w:val="none" w:sz="0" w:space="0" w:color="auto"/>
        <w:right w:val="none" w:sz="0" w:space="0" w:color="auto"/>
      </w:divBdr>
    </w:div>
    <w:div w:id="1744260827">
      <w:bodyDiv w:val="1"/>
      <w:marLeft w:val="0"/>
      <w:marRight w:val="0"/>
      <w:marTop w:val="0"/>
      <w:marBottom w:val="0"/>
      <w:divBdr>
        <w:top w:val="none" w:sz="0" w:space="0" w:color="auto"/>
        <w:left w:val="none" w:sz="0" w:space="0" w:color="auto"/>
        <w:bottom w:val="none" w:sz="0" w:space="0" w:color="auto"/>
        <w:right w:val="none" w:sz="0" w:space="0" w:color="auto"/>
      </w:divBdr>
    </w:div>
    <w:div w:id="208348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501</Words>
  <Characters>2861</Characters>
  <Application>Microsoft Office Word</Application>
  <DocSecurity>0</DocSecurity>
  <Lines>23</Lines>
  <Paragraphs>6</Paragraphs>
  <ScaleCrop>false</ScaleCrop>
  <Company/>
  <LinksUpToDate>false</LinksUpToDate>
  <CharactersWithSpaces>3356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o3068</dc:creator>
  <cp:keywords/>
  <dc:description/>
  <cp:lastModifiedBy>user</cp:lastModifiedBy>
  <cp:revision>2</cp:revision>
  <cp:lastPrinted>2023-01-19T03:42:00Z</cp:lastPrinted>
  <dcterms:created xsi:type="dcterms:W3CDTF">2023-05-24T08:52:00Z</dcterms:created>
  <dcterms:modified xsi:type="dcterms:W3CDTF">2023-05-24T08:52:00Z</dcterms:modified>
</cp:coreProperties>
</file>