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38" w:rsidRDefault="004B6F38" w:rsidP="00245EC5">
      <w:pPr>
        <w:spacing w:before="240" w:line="460" w:lineRule="exact"/>
        <w:rPr>
          <w:rFonts w:ascii="微軟正黑體" w:eastAsia="微軟正黑體" w:hAnsi="微軟正黑體"/>
        </w:rPr>
      </w:pPr>
      <w:bookmarkStart w:id="0" w:name="_GoBack"/>
      <w:bookmarkEnd w:id="0"/>
    </w:p>
    <w:p w:rsidR="004B6F38" w:rsidRPr="005E568F" w:rsidRDefault="004B6F38" w:rsidP="006B58AC">
      <w:pPr>
        <w:pStyle w:val="Web"/>
        <w:spacing w:before="240" w:beforeAutospacing="0" w:after="240" w:afterAutospacing="0"/>
        <w:jc w:val="center"/>
        <w:rPr>
          <w:b/>
          <w:sz w:val="30"/>
          <w:szCs w:val="30"/>
        </w:rPr>
      </w:pPr>
      <w:r w:rsidRPr="005E568F">
        <w:rPr>
          <w:rFonts w:ascii="Arial" w:hAnsi="Arial" w:cs="Arial"/>
          <w:b/>
          <w:color w:val="000000"/>
          <w:sz w:val="30"/>
          <w:szCs w:val="30"/>
        </w:rPr>
        <w:t>Taitung County Government</w:t>
      </w:r>
      <w:r w:rsidRPr="005E568F">
        <w:rPr>
          <w:rFonts w:ascii="Arial" w:hAnsi="Arial" w:cs="Arial"/>
          <w:b/>
          <w:color w:val="000000"/>
          <w:sz w:val="30"/>
          <w:szCs w:val="30"/>
        </w:rPr>
        <w:br/>
      </w:r>
      <w:r w:rsidR="006B58AC" w:rsidRPr="005E568F">
        <w:rPr>
          <w:rFonts w:ascii="Arial" w:hAnsi="Arial" w:cs="Arial"/>
          <w:b/>
          <w:color w:val="000000"/>
          <w:sz w:val="30"/>
          <w:szCs w:val="30"/>
        </w:rPr>
        <w:t xml:space="preserve">Taitung </w:t>
      </w:r>
      <w:r w:rsidRPr="005E568F">
        <w:rPr>
          <w:rFonts w:ascii="Arial" w:hAnsi="Arial" w:cs="Arial"/>
          <w:b/>
          <w:color w:val="000000"/>
          <w:sz w:val="30"/>
          <w:szCs w:val="30"/>
        </w:rPr>
        <w:t>Indigenous Cultural</w:t>
      </w:r>
      <w:r w:rsidR="006B58AC" w:rsidRPr="005E568F">
        <w:rPr>
          <w:rFonts w:ascii="Arial" w:hAnsi="Arial" w:cs="Arial"/>
          <w:b/>
          <w:color w:val="000000"/>
          <w:sz w:val="30"/>
          <w:szCs w:val="30"/>
        </w:rPr>
        <w:t xml:space="preserve"> and Creative Industries Park</w:t>
      </w:r>
      <w:r w:rsidRPr="005E568F">
        <w:rPr>
          <w:rFonts w:ascii="Arial" w:hAnsi="Arial" w:cs="Arial"/>
          <w:b/>
          <w:color w:val="000000"/>
          <w:sz w:val="30"/>
          <w:szCs w:val="30"/>
        </w:rPr>
        <w:br/>
        <w:t>TTICC Artist Residency Program Selection Guidelines</w:t>
      </w:r>
    </w:p>
    <w:p w:rsidR="004B6F38" w:rsidRPr="005E568F" w:rsidRDefault="004B6F38" w:rsidP="005E568F">
      <w:pPr>
        <w:pStyle w:val="Web"/>
        <w:numPr>
          <w:ilvl w:val="0"/>
          <w:numId w:val="13"/>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Project Purpose:</w:t>
      </w:r>
      <w:r w:rsidRPr="005E568F">
        <w:rPr>
          <w:rFonts w:ascii="Arial" w:hAnsi="Arial" w:cs="Arial"/>
          <w:color w:val="000000"/>
          <w:sz w:val="27"/>
          <w:szCs w:val="27"/>
        </w:rPr>
        <w:br/>
        <w:t xml:space="preserve">To enhance the creative energy of the Indigenous Cultural and Creative </w:t>
      </w:r>
      <w:r w:rsidR="00245EC5" w:rsidRPr="005E568F">
        <w:rPr>
          <w:rFonts w:ascii="Arial" w:hAnsi="Arial" w:cs="Arial"/>
          <w:color w:val="000000"/>
          <w:sz w:val="27"/>
          <w:szCs w:val="27"/>
        </w:rPr>
        <w:t>Industries</w:t>
      </w:r>
      <w:r w:rsidRPr="005E568F">
        <w:rPr>
          <w:rFonts w:ascii="Arial" w:hAnsi="Arial" w:cs="Arial"/>
          <w:color w:val="000000"/>
          <w:sz w:val="27"/>
          <w:szCs w:val="27"/>
        </w:rPr>
        <w:t xml:space="preserve"> </w:t>
      </w:r>
      <w:r w:rsidR="00245EC5" w:rsidRPr="005E568F">
        <w:rPr>
          <w:rFonts w:ascii="Arial" w:hAnsi="Arial" w:cs="Arial"/>
          <w:color w:val="000000"/>
          <w:sz w:val="27"/>
          <w:szCs w:val="27"/>
        </w:rPr>
        <w:t>Park in Taitung County</w:t>
      </w:r>
      <w:r w:rsidRPr="005E568F">
        <w:rPr>
          <w:rFonts w:ascii="Arial" w:hAnsi="Arial" w:cs="Arial"/>
          <w:color w:val="000000"/>
          <w:sz w:val="27"/>
          <w:szCs w:val="27"/>
        </w:rPr>
        <w:t xml:space="preserve"> by inviting domestic and international Indigenous artists or art groups to create works in various fields, including design, art, video, music, and dance. The program aims to connect artists with the rich Indigenous culture of Taitung County for multidisciplinary creation.</w:t>
      </w:r>
    </w:p>
    <w:p w:rsidR="004B6F38" w:rsidRDefault="004B6F38" w:rsidP="005E568F">
      <w:pPr>
        <w:pStyle w:val="Web"/>
        <w:numPr>
          <w:ilvl w:val="0"/>
          <w:numId w:val="13"/>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Organizer: Taitung County Government</w:t>
      </w:r>
    </w:p>
    <w:p w:rsidR="004B6F38" w:rsidRDefault="004B6F38" w:rsidP="006B58AC">
      <w:pPr>
        <w:pStyle w:val="Web"/>
        <w:numPr>
          <w:ilvl w:val="0"/>
          <w:numId w:val="13"/>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Eligibility:</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No nationality restrictions.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Individuals or groups with at least 2 years of experience in Indigenous culture, contemporary art, design, video, music, dance, technology innovation, sustainable agriculture, installation art, and aesthetics, or those interested in Indigenous cultural arts.</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Application Period: Submit applications 2 months before the planned residency period.</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Required Application Materials: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One application form.</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One residency feedback plan.</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Residency Period: March 1st to November 30th each year.</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Duration of Residency: Maximum of 90 days. Extensions require 15 days' notice and approval from the organizer.</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lastRenderedPageBreak/>
        <w:t>Application Method:</w:t>
      </w:r>
      <w:r>
        <w:rPr>
          <w:rFonts w:ascii="Arial" w:hAnsi="Arial" w:cs="Arial"/>
          <w:color w:val="000000"/>
          <w:sz w:val="27"/>
          <w:szCs w:val="27"/>
        </w:rPr>
        <w:br/>
        <w:t>Submit 5 copies of the application form and relevant materials by mail or in person to:</w:t>
      </w:r>
      <w:r>
        <w:rPr>
          <w:rFonts w:ascii="Arial" w:hAnsi="Arial" w:cs="Arial"/>
          <w:color w:val="000000"/>
          <w:sz w:val="27"/>
          <w:szCs w:val="27"/>
        </w:rPr>
        <w:br/>
        <w:t xml:space="preserve">TTICC Artist Residency Selection Project - Working Group, 82 Tiehua Road, Taitung City (TTICC Indigenous Cultural and Creative </w:t>
      </w:r>
      <w:r w:rsidR="00245EC5">
        <w:rPr>
          <w:rFonts w:ascii="Arial" w:hAnsi="Arial" w:cs="Arial"/>
          <w:color w:val="000000"/>
          <w:sz w:val="27"/>
          <w:szCs w:val="27"/>
        </w:rPr>
        <w:t>Industries</w:t>
      </w:r>
      <w:r>
        <w:rPr>
          <w:rFonts w:ascii="Arial" w:hAnsi="Arial" w:cs="Arial"/>
          <w:color w:val="000000"/>
          <w:sz w:val="27"/>
          <w:szCs w:val="27"/>
        </w:rPr>
        <w:t xml:space="preserve"> </w:t>
      </w:r>
      <w:r w:rsidR="00245EC5">
        <w:rPr>
          <w:rFonts w:ascii="Arial" w:hAnsi="Arial" w:cs="Arial"/>
          <w:color w:val="000000"/>
          <w:sz w:val="27"/>
          <w:szCs w:val="27"/>
        </w:rPr>
        <w:t>Park</w:t>
      </w:r>
      <w:r>
        <w:rPr>
          <w:rFonts w:ascii="Arial" w:hAnsi="Arial" w:cs="Arial"/>
          <w:color w:val="000000"/>
          <w:sz w:val="27"/>
          <w:szCs w:val="27"/>
        </w:rPr>
        <w:t>)</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Selection Process: Organizer will review applications and notify applicants of results.</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 xml:space="preserve">Residency Location: TTICC Indigenous Cultural and Creative </w:t>
      </w:r>
      <w:r w:rsidR="00245EC5">
        <w:rPr>
          <w:rFonts w:ascii="Arial" w:hAnsi="Arial" w:cs="Arial"/>
          <w:color w:val="000000"/>
          <w:sz w:val="27"/>
          <w:szCs w:val="27"/>
        </w:rPr>
        <w:t>Industries</w:t>
      </w:r>
      <w:r>
        <w:rPr>
          <w:rFonts w:ascii="Arial" w:hAnsi="Arial" w:cs="Arial"/>
          <w:color w:val="000000"/>
          <w:sz w:val="27"/>
          <w:szCs w:val="27"/>
        </w:rPr>
        <w:t xml:space="preserve"> </w:t>
      </w:r>
      <w:r w:rsidR="00245EC5">
        <w:rPr>
          <w:rFonts w:ascii="Arial" w:hAnsi="Arial" w:cs="Arial"/>
          <w:color w:val="000000"/>
          <w:sz w:val="27"/>
          <w:szCs w:val="27"/>
        </w:rPr>
        <w:t>Park</w:t>
      </w:r>
      <w:r>
        <w:rPr>
          <w:rFonts w:ascii="Arial" w:hAnsi="Arial" w:cs="Arial"/>
          <w:color w:val="000000"/>
          <w:sz w:val="27"/>
          <w:szCs w:val="27"/>
        </w:rPr>
        <w:t xml:space="preserve"> (82 Tiehua Road, Taitung City)</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Facilities Provided During Residency:</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Accommodation: one suite (with air conditioning, bed, desk, chair, bathroom, hairdryer); electricity and water charged at 5 NTD per unit.</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Studio: one room (with desk, chair, cabinet, air conditioning).</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 xml:space="preserve">Other facilities: creative studio, dance and music lab, 3D lab, 2D lab, high-temperature lab, recording studio (subject to </w:t>
      </w:r>
      <w:r w:rsidR="00245EC5">
        <w:rPr>
          <w:rFonts w:ascii="Arial" w:hAnsi="Arial" w:cs="Arial"/>
          <w:color w:val="000000"/>
          <w:sz w:val="27"/>
          <w:szCs w:val="27"/>
        </w:rPr>
        <w:t>Park</w:t>
      </w:r>
      <w:r>
        <w:rPr>
          <w:rFonts w:ascii="Arial" w:hAnsi="Arial" w:cs="Arial"/>
          <w:color w:val="000000"/>
          <w:sz w:val="27"/>
          <w:szCs w:val="27"/>
        </w:rPr>
        <w:t xml:space="preserve"> rules for borrowing).</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Residency Expenses Provided:</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Maximum grant of 40,000 NTD for materials, equipment, presentations, lectures, workshops, exhibitions, accommodation, design, printing, or licensing fees.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Artists must list expenses in the application and submit receipts, expense statements, and residency reports for reimbursement.</w:t>
      </w:r>
    </w:p>
    <w:p w:rsidR="004B6F38" w:rsidRDefault="004B6F38" w:rsidP="006B58AC">
      <w:pPr>
        <w:pStyle w:val="Web"/>
        <w:numPr>
          <w:ilvl w:val="0"/>
          <w:numId w:val="14"/>
        </w:numPr>
        <w:spacing w:before="240" w:beforeAutospacing="0" w:after="0" w:afterAutospacing="0"/>
        <w:textAlignment w:val="baseline"/>
        <w:rPr>
          <w:rFonts w:ascii="Arial" w:hAnsi="Arial" w:cs="Arial"/>
          <w:color w:val="000000"/>
          <w:sz w:val="27"/>
          <w:szCs w:val="27"/>
        </w:rPr>
      </w:pPr>
      <w:r>
        <w:rPr>
          <w:rFonts w:ascii="Arial" w:hAnsi="Arial" w:cs="Arial"/>
          <w:color w:val="000000"/>
          <w:sz w:val="27"/>
          <w:szCs w:val="27"/>
        </w:rPr>
        <w:t>Artist Rights and Obligations: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Feedback Items:</w:t>
      </w:r>
    </w:p>
    <w:p w:rsidR="004B6F38" w:rsidRDefault="004B6F38" w:rsidP="006B58AC">
      <w:pPr>
        <w:pStyle w:val="Web"/>
        <w:numPr>
          <w:ilvl w:val="2"/>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At least one presentation, lecture, or workshop during residency, preferably at TTICC, completed 14 days before departure.</w:t>
      </w:r>
    </w:p>
    <w:p w:rsidR="004B6F38" w:rsidRDefault="004B6F38" w:rsidP="006B58AC">
      <w:pPr>
        <w:pStyle w:val="Web"/>
        <w:numPr>
          <w:ilvl w:val="2"/>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lastRenderedPageBreak/>
        <w:t>Provide at least one artwork created during residency, submitted 14 days before departure.</w:t>
      </w:r>
    </w:p>
    <w:p w:rsidR="004B6F38" w:rsidRDefault="004B6F38" w:rsidP="006B58AC">
      <w:pPr>
        <w:pStyle w:val="Web"/>
        <w:numPr>
          <w:ilvl w:val="2"/>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Licensing matters follow copyright laws; artists are copyright holders, while organizers own property rights or negotiate with artists.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Deposit of 5,000 NTD due 15 days before residency, refundable without interest after completion of inventory handover.</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 xml:space="preserve">Artists must ensure no copyright infringement; artists are liable for damages caused to </w:t>
      </w:r>
      <w:r w:rsidR="00245EC5">
        <w:rPr>
          <w:rFonts w:ascii="Arial" w:hAnsi="Arial" w:cs="Arial"/>
          <w:color w:val="000000"/>
          <w:sz w:val="27"/>
          <w:szCs w:val="27"/>
        </w:rPr>
        <w:t xml:space="preserve">the </w:t>
      </w:r>
      <w:r>
        <w:rPr>
          <w:rFonts w:ascii="Arial" w:hAnsi="Arial" w:cs="Arial"/>
          <w:color w:val="000000"/>
          <w:sz w:val="27"/>
          <w:szCs w:val="27"/>
        </w:rPr>
        <w:t>Taitung County Government.</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Provide two emergency contacts; artists are responsible for any personal safety issues.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Artists cover living expenses, transportation, and other personal costs.</w:t>
      </w:r>
    </w:p>
    <w:p w:rsidR="004B6F38" w:rsidRDefault="004B6F38" w:rsidP="006B58AC">
      <w:pPr>
        <w:pStyle w:val="Web"/>
        <w:numPr>
          <w:ilvl w:val="1"/>
          <w:numId w:val="14"/>
        </w:numPr>
        <w:spacing w:before="240" w:beforeAutospacing="0" w:after="0" w:afterAutospacing="0"/>
        <w:ind w:left="960"/>
        <w:textAlignment w:val="baseline"/>
        <w:rPr>
          <w:rFonts w:ascii="Arial" w:hAnsi="Arial" w:cs="Arial"/>
          <w:color w:val="000000"/>
          <w:sz w:val="27"/>
          <w:szCs w:val="27"/>
        </w:rPr>
      </w:pPr>
      <w:r>
        <w:rPr>
          <w:rFonts w:ascii="Arial" w:hAnsi="Arial" w:cs="Arial"/>
          <w:color w:val="000000"/>
          <w:sz w:val="27"/>
          <w:szCs w:val="27"/>
        </w:rPr>
        <w:t>Selected artists will be notified for subsequent residency arrangements.</w:t>
      </w:r>
    </w:p>
    <w:p w:rsidR="004B6F38" w:rsidRDefault="004B6F38" w:rsidP="006B58AC">
      <w:pPr>
        <w:pStyle w:val="Web"/>
        <w:numPr>
          <w:ilvl w:val="0"/>
          <w:numId w:val="14"/>
        </w:numPr>
        <w:spacing w:before="240" w:beforeAutospacing="0" w:after="320" w:afterAutospacing="0"/>
        <w:textAlignment w:val="baseline"/>
        <w:rPr>
          <w:rFonts w:ascii="Arial" w:hAnsi="Arial" w:cs="Arial"/>
          <w:color w:val="000000"/>
          <w:sz w:val="27"/>
          <w:szCs w:val="27"/>
        </w:rPr>
      </w:pPr>
      <w:r>
        <w:rPr>
          <w:rFonts w:ascii="Arial" w:hAnsi="Arial" w:cs="Arial"/>
          <w:color w:val="000000"/>
          <w:sz w:val="27"/>
          <w:szCs w:val="27"/>
        </w:rPr>
        <w:t>Other Notes: If unable to attend the residency, provide a declaration and notify the organizer 14 days before the planned residency date.</w:t>
      </w:r>
    </w:p>
    <w:p w:rsidR="004B6F38" w:rsidRPr="004B6F38" w:rsidRDefault="004B6F38" w:rsidP="006B58AC">
      <w:pPr>
        <w:spacing w:before="240" w:line="460" w:lineRule="exact"/>
        <w:ind w:left="708" w:hangingChars="295" w:hanging="708"/>
        <w:rPr>
          <w:rFonts w:ascii="微軟正黑體" w:eastAsia="微軟正黑體" w:hAnsi="微軟正黑體"/>
        </w:rPr>
      </w:pPr>
    </w:p>
    <w:sectPr w:rsidR="004B6F38" w:rsidRPr="004B6F38" w:rsidSect="000D7001">
      <w:headerReference w:type="default" r:id="rId7"/>
      <w:footerReference w:type="default" r:id="rId8"/>
      <w:pgSz w:w="11906" w:h="16838"/>
      <w:pgMar w:top="993"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A6" w:rsidRDefault="001D00A6" w:rsidP="004F10F4">
      <w:r>
        <w:separator/>
      </w:r>
    </w:p>
  </w:endnote>
  <w:endnote w:type="continuationSeparator" w:id="0">
    <w:p w:rsidR="001D00A6" w:rsidRDefault="001D00A6" w:rsidP="004F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759101"/>
      <w:docPartObj>
        <w:docPartGallery w:val="Page Numbers (Bottom of Page)"/>
        <w:docPartUnique/>
      </w:docPartObj>
    </w:sdtPr>
    <w:sdtEndPr/>
    <w:sdtContent>
      <w:p w:rsidR="009702BE" w:rsidRDefault="009702BE">
        <w:pPr>
          <w:pStyle w:val="a6"/>
          <w:jc w:val="center"/>
        </w:pPr>
        <w:r>
          <w:fldChar w:fldCharType="begin"/>
        </w:r>
        <w:r>
          <w:instrText>PAGE   \* MERGEFORMAT</w:instrText>
        </w:r>
        <w:r>
          <w:fldChar w:fldCharType="separate"/>
        </w:r>
        <w:r w:rsidR="004D29C8" w:rsidRPr="004D29C8">
          <w:rPr>
            <w:noProof/>
            <w:lang w:val="zh-TW"/>
          </w:rPr>
          <w:t>2</w:t>
        </w:r>
        <w:r>
          <w:fldChar w:fldCharType="end"/>
        </w:r>
      </w:p>
    </w:sdtContent>
  </w:sdt>
  <w:p w:rsidR="009702BE" w:rsidRDefault="009702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A6" w:rsidRDefault="001D00A6" w:rsidP="004F10F4">
      <w:r>
        <w:separator/>
      </w:r>
    </w:p>
  </w:footnote>
  <w:footnote w:type="continuationSeparator" w:id="0">
    <w:p w:rsidR="001D00A6" w:rsidRDefault="001D00A6" w:rsidP="004F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F9" w:rsidRPr="00284AF9" w:rsidRDefault="00284AF9" w:rsidP="00284AF9">
    <w:pPr>
      <w:pStyle w:val="a4"/>
      <w:jc w:val="right"/>
      <w:rPr>
        <w:rFonts w:ascii="微軟正黑體" w:eastAsia="微軟正黑體" w:hAnsi="微軟正黑體"/>
      </w:rPr>
    </w:pPr>
    <w:r w:rsidRPr="00284AF9">
      <w:rPr>
        <w:rFonts w:ascii="微軟正黑體" w:eastAsia="微軟正黑體" w:hAnsi="微軟正黑體" w:hint="eastAsia"/>
      </w:rPr>
      <w:t>112.02.03</w:t>
    </w:r>
    <w:r w:rsidR="000A620E">
      <w:rPr>
        <w:rFonts w:ascii="微軟正黑體" w:eastAsia="微軟正黑體" w:hAnsi="微軟正黑體" w:hint="eastAsia"/>
      </w:rPr>
      <w:t>核定版</w:t>
    </w:r>
  </w:p>
  <w:p w:rsidR="009702BE" w:rsidRDefault="009702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234A"/>
    <w:multiLevelType w:val="hybridMultilevel"/>
    <w:tmpl w:val="EE3C24E6"/>
    <w:lvl w:ilvl="0" w:tplc="4EDA8F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16209"/>
    <w:multiLevelType w:val="hybridMultilevel"/>
    <w:tmpl w:val="BBA0A176"/>
    <w:lvl w:ilvl="0" w:tplc="B186E30E">
      <w:start w:val="1"/>
      <w:numFmt w:val="taiwaneseCountingThousand"/>
      <w:lvlText w:val="（%1）"/>
      <w:lvlJc w:val="left"/>
      <w:pPr>
        <w:ind w:left="840" w:hanging="360"/>
      </w:pPr>
      <w:rPr>
        <w:rFonts w:ascii="微軟正黑體" w:eastAsia="微軟正黑體" w:hAnsi="微軟正黑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444F48"/>
    <w:multiLevelType w:val="hybridMultilevel"/>
    <w:tmpl w:val="B7AA6718"/>
    <w:lvl w:ilvl="0" w:tplc="4BDEFEEE">
      <w:start w:val="1"/>
      <w:numFmt w:val="decimal"/>
      <w:lvlText w:val="(%1)"/>
      <w:lvlJc w:val="left"/>
      <w:pPr>
        <w:ind w:left="1980" w:hanging="4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2AAE0C03"/>
    <w:multiLevelType w:val="hybridMultilevel"/>
    <w:tmpl w:val="961AD318"/>
    <w:lvl w:ilvl="0" w:tplc="0409000F">
      <w:start w:val="1"/>
      <w:numFmt w:val="decimal"/>
      <w:lvlText w:val="%1."/>
      <w:lvlJc w:val="left"/>
      <w:pPr>
        <w:ind w:left="2040" w:hanging="480"/>
      </w:p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4">
    <w:nsid w:val="3DE12287"/>
    <w:multiLevelType w:val="hybridMultilevel"/>
    <w:tmpl w:val="6C16F1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EB85BB0"/>
    <w:multiLevelType w:val="hybridMultilevel"/>
    <w:tmpl w:val="25CA3334"/>
    <w:lvl w:ilvl="0" w:tplc="33F4788C">
      <w:start w:val="1"/>
      <w:numFmt w:val="taiwaneseCountingThousand"/>
      <w:lvlText w:val="（%1）"/>
      <w:lvlJc w:val="left"/>
      <w:pPr>
        <w:ind w:left="1006" w:hanging="720"/>
      </w:pPr>
      <w:rPr>
        <w:rFonts w:hint="default"/>
      </w:rPr>
    </w:lvl>
    <w:lvl w:ilvl="1" w:tplc="DFEE50E2">
      <w:start w:val="1"/>
      <w:numFmt w:val="taiwaneseCountingThousand"/>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nsid w:val="45BA2A92"/>
    <w:multiLevelType w:val="hybridMultilevel"/>
    <w:tmpl w:val="D6C838F6"/>
    <w:lvl w:ilvl="0" w:tplc="878EB87A">
      <w:start w:val="1"/>
      <w:numFmt w:val="taiwaneseCountingThousand"/>
      <w:lvlText w:val="（%1）"/>
      <w:lvlJc w:val="left"/>
      <w:pPr>
        <w:ind w:left="1006" w:hanging="720"/>
      </w:pPr>
      <w:rPr>
        <w:rFonts w:hint="default"/>
        <w:lang w:val="en-US"/>
      </w:rPr>
    </w:lvl>
    <w:lvl w:ilvl="1" w:tplc="DFEE50E2">
      <w:start w:val="1"/>
      <w:numFmt w:val="taiwaneseCountingThousand"/>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nsid w:val="501214FD"/>
    <w:multiLevelType w:val="hybridMultilevel"/>
    <w:tmpl w:val="F7F28364"/>
    <w:lvl w:ilvl="0" w:tplc="2AFC8CE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FAC023F"/>
    <w:multiLevelType w:val="hybridMultilevel"/>
    <w:tmpl w:val="A8F071CA"/>
    <w:lvl w:ilvl="0" w:tplc="B186E30E">
      <w:start w:val="1"/>
      <w:numFmt w:val="taiwaneseCountingThousand"/>
      <w:lvlText w:val="（%1）"/>
      <w:lvlJc w:val="left"/>
      <w:pPr>
        <w:ind w:left="840" w:hanging="480"/>
      </w:pPr>
      <w:rPr>
        <w:rFonts w:ascii="微軟正黑體" w:eastAsia="微軟正黑體" w:hAnsi="微軟正黑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7B145E3"/>
    <w:multiLevelType w:val="hybridMultilevel"/>
    <w:tmpl w:val="20D4EEA2"/>
    <w:lvl w:ilvl="0" w:tplc="5D146654">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9C876F7"/>
    <w:multiLevelType w:val="hybridMultilevel"/>
    <w:tmpl w:val="756E8602"/>
    <w:lvl w:ilvl="0" w:tplc="33F4788C">
      <w:start w:val="1"/>
      <w:numFmt w:val="taiwaneseCountingThousand"/>
      <w:lvlText w:val="（%1）"/>
      <w:lvlJc w:val="left"/>
      <w:pPr>
        <w:ind w:left="1006" w:hanging="720"/>
      </w:pPr>
      <w:rPr>
        <w:rFonts w:hint="default"/>
      </w:rPr>
    </w:lvl>
    <w:lvl w:ilvl="1" w:tplc="DFEE50E2">
      <w:start w:val="1"/>
      <w:numFmt w:val="taiwaneseCountingThousand"/>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nsid w:val="6CBE721B"/>
    <w:multiLevelType w:val="hybridMultilevel"/>
    <w:tmpl w:val="708C1818"/>
    <w:lvl w:ilvl="0" w:tplc="5D14665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5A1A51"/>
    <w:multiLevelType w:val="multilevel"/>
    <w:tmpl w:val="809C7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8"/>
  </w:num>
  <w:num w:numId="6">
    <w:abstractNumId w:val="9"/>
  </w:num>
  <w:num w:numId="7">
    <w:abstractNumId w:val="11"/>
  </w:num>
  <w:num w:numId="8">
    <w:abstractNumId w:val="7"/>
  </w:num>
  <w:num w:numId="9">
    <w:abstractNumId w:val="10"/>
  </w:num>
  <w:num w:numId="10">
    <w:abstractNumId w:val="0"/>
  </w:num>
  <w:num w:numId="11">
    <w:abstractNumId w:val="5"/>
  </w:num>
  <w:num w:numId="12">
    <w:abstractNumId w:val="6"/>
  </w:num>
  <w:num w:numId="13">
    <w:abstractNumId w:val="12"/>
  </w:num>
  <w:num w:numId="14">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96"/>
    <w:rsid w:val="000A620E"/>
    <w:rsid w:val="000C3555"/>
    <w:rsid w:val="000D7001"/>
    <w:rsid w:val="0015006A"/>
    <w:rsid w:val="00181EEC"/>
    <w:rsid w:val="001D00A6"/>
    <w:rsid w:val="001E128F"/>
    <w:rsid w:val="001F00F1"/>
    <w:rsid w:val="00245EC5"/>
    <w:rsid w:val="00284AF9"/>
    <w:rsid w:val="002B6098"/>
    <w:rsid w:val="002B6407"/>
    <w:rsid w:val="002D2B82"/>
    <w:rsid w:val="002D3747"/>
    <w:rsid w:val="002D7CBB"/>
    <w:rsid w:val="004A422D"/>
    <w:rsid w:val="004B6F38"/>
    <w:rsid w:val="004D29C8"/>
    <w:rsid w:val="004F04D4"/>
    <w:rsid w:val="004F10F4"/>
    <w:rsid w:val="004F5B34"/>
    <w:rsid w:val="00526618"/>
    <w:rsid w:val="005458D6"/>
    <w:rsid w:val="005E568F"/>
    <w:rsid w:val="00633953"/>
    <w:rsid w:val="00680D69"/>
    <w:rsid w:val="006875D5"/>
    <w:rsid w:val="006B58AC"/>
    <w:rsid w:val="006B7982"/>
    <w:rsid w:val="00741E1E"/>
    <w:rsid w:val="00745718"/>
    <w:rsid w:val="0076474D"/>
    <w:rsid w:val="007B1F4A"/>
    <w:rsid w:val="00956066"/>
    <w:rsid w:val="009575F9"/>
    <w:rsid w:val="00964A0D"/>
    <w:rsid w:val="009702BE"/>
    <w:rsid w:val="009766E0"/>
    <w:rsid w:val="009D63C9"/>
    <w:rsid w:val="00A32210"/>
    <w:rsid w:val="00A6302D"/>
    <w:rsid w:val="00A638A7"/>
    <w:rsid w:val="00B62A37"/>
    <w:rsid w:val="00C35495"/>
    <w:rsid w:val="00C43298"/>
    <w:rsid w:val="00C86794"/>
    <w:rsid w:val="00C90771"/>
    <w:rsid w:val="00CA0296"/>
    <w:rsid w:val="00D02613"/>
    <w:rsid w:val="00D22552"/>
    <w:rsid w:val="00D3658F"/>
    <w:rsid w:val="00D4730F"/>
    <w:rsid w:val="00E03949"/>
    <w:rsid w:val="00E71BA5"/>
    <w:rsid w:val="00E96B2C"/>
    <w:rsid w:val="00EA2223"/>
    <w:rsid w:val="00EE5D50"/>
    <w:rsid w:val="00F237D5"/>
    <w:rsid w:val="00F37A62"/>
    <w:rsid w:val="00F81347"/>
    <w:rsid w:val="00FB3D2E"/>
    <w:rsid w:val="00FC4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5F8B2B-2C33-4580-929F-088AB86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9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A5"/>
    <w:pPr>
      <w:ind w:leftChars="200" w:left="480"/>
    </w:pPr>
  </w:style>
  <w:style w:type="paragraph" w:styleId="a4">
    <w:name w:val="header"/>
    <w:basedOn w:val="a"/>
    <w:link w:val="a5"/>
    <w:uiPriority w:val="99"/>
    <w:unhideWhenUsed/>
    <w:rsid w:val="004F10F4"/>
    <w:pPr>
      <w:tabs>
        <w:tab w:val="center" w:pos="4153"/>
        <w:tab w:val="right" w:pos="8306"/>
      </w:tabs>
      <w:snapToGrid w:val="0"/>
    </w:pPr>
    <w:rPr>
      <w:sz w:val="20"/>
      <w:szCs w:val="20"/>
    </w:rPr>
  </w:style>
  <w:style w:type="character" w:customStyle="1" w:styleId="a5">
    <w:name w:val="頁首 字元"/>
    <w:basedOn w:val="a0"/>
    <w:link w:val="a4"/>
    <w:uiPriority w:val="99"/>
    <w:rsid w:val="004F10F4"/>
    <w:rPr>
      <w:rFonts w:ascii="Calibri" w:eastAsia="新細明體" w:hAnsi="Calibri" w:cs="Times New Roman"/>
      <w:sz w:val="20"/>
      <w:szCs w:val="20"/>
    </w:rPr>
  </w:style>
  <w:style w:type="paragraph" w:styleId="a6">
    <w:name w:val="footer"/>
    <w:basedOn w:val="a"/>
    <w:link w:val="a7"/>
    <w:uiPriority w:val="99"/>
    <w:unhideWhenUsed/>
    <w:rsid w:val="004F10F4"/>
    <w:pPr>
      <w:tabs>
        <w:tab w:val="center" w:pos="4153"/>
        <w:tab w:val="right" w:pos="8306"/>
      </w:tabs>
      <w:snapToGrid w:val="0"/>
    </w:pPr>
    <w:rPr>
      <w:sz w:val="20"/>
      <w:szCs w:val="20"/>
    </w:rPr>
  </w:style>
  <w:style w:type="character" w:customStyle="1" w:styleId="a7">
    <w:name w:val="頁尾 字元"/>
    <w:basedOn w:val="a0"/>
    <w:link w:val="a6"/>
    <w:uiPriority w:val="99"/>
    <w:rsid w:val="004F10F4"/>
    <w:rPr>
      <w:rFonts w:ascii="Calibri" w:eastAsia="新細明體" w:hAnsi="Calibri" w:cs="Times New Roman"/>
      <w:sz w:val="20"/>
      <w:szCs w:val="20"/>
    </w:rPr>
  </w:style>
  <w:style w:type="paragraph" w:styleId="a8">
    <w:name w:val="Balloon Text"/>
    <w:basedOn w:val="a"/>
    <w:link w:val="a9"/>
    <w:uiPriority w:val="99"/>
    <w:semiHidden/>
    <w:unhideWhenUsed/>
    <w:rsid w:val="009560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066"/>
    <w:rPr>
      <w:rFonts w:asciiTheme="majorHAnsi" w:eastAsiaTheme="majorEastAsia" w:hAnsiTheme="majorHAnsi" w:cstheme="majorBidi"/>
      <w:sz w:val="18"/>
      <w:szCs w:val="18"/>
    </w:rPr>
  </w:style>
  <w:style w:type="paragraph" w:styleId="Web">
    <w:name w:val="Normal (Web)"/>
    <w:basedOn w:val="a"/>
    <w:uiPriority w:val="99"/>
    <w:semiHidden/>
    <w:unhideWhenUsed/>
    <w:rsid w:val="004B6F3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614">
      <w:bodyDiv w:val="1"/>
      <w:marLeft w:val="0"/>
      <w:marRight w:val="0"/>
      <w:marTop w:val="0"/>
      <w:marBottom w:val="0"/>
      <w:divBdr>
        <w:top w:val="none" w:sz="0" w:space="0" w:color="auto"/>
        <w:left w:val="none" w:sz="0" w:space="0" w:color="auto"/>
        <w:bottom w:val="none" w:sz="0" w:space="0" w:color="auto"/>
        <w:right w:val="none" w:sz="0" w:space="0" w:color="auto"/>
      </w:divBdr>
    </w:div>
    <w:div w:id="524640824">
      <w:bodyDiv w:val="1"/>
      <w:marLeft w:val="0"/>
      <w:marRight w:val="0"/>
      <w:marTop w:val="0"/>
      <w:marBottom w:val="0"/>
      <w:divBdr>
        <w:top w:val="none" w:sz="0" w:space="0" w:color="auto"/>
        <w:left w:val="none" w:sz="0" w:space="0" w:color="auto"/>
        <w:bottom w:val="none" w:sz="0" w:space="0" w:color="auto"/>
        <w:right w:val="none" w:sz="0" w:space="0" w:color="auto"/>
      </w:divBdr>
    </w:div>
    <w:div w:id="619604454">
      <w:bodyDiv w:val="1"/>
      <w:marLeft w:val="0"/>
      <w:marRight w:val="0"/>
      <w:marTop w:val="0"/>
      <w:marBottom w:val="0"/>
      <w:divBdr>
        <w:top w:val="none" w:sz="0" w:space="0" w:color="auto"/>
        <w:left w:val="none" w:sz="0" w:space="0" w:color="auto"/>
        <w:bottom w:val="none" w:sz="0" w:space="0" w:color="auto"/>
        <w:right w:val="none" w:sz="0" w:space="0" w:color="auto"/>
      </w:divBdr>
    </w:div>
    <w:div w:id="1736590815">
      <w:bodyDiv w:val="1"/>
      <w:marLeft w:val="0"/>
      <w:marRight w:val="0"/>
      <w:marTop w:val="0"/>
      <w:marBottom w:val="0"/>
      <w:divBdr>
        <w:top w:val="none" w:sz="0" w:space="0" w:color="auto"/>
        <w:left w:val="none" w:sz="0" w:space="0" w:color="auto"/>
        <w:bottom w:val="none" w:sz="0" w:space="0" w:color="auto"/>
        <w:right w:val="none" w:sz="0" w:space="0" w:color="auto"/>
      </w:divBdr>
    </w:div>
    <w:div w:id="1744260827">
      <w:bodyDiv w:val="1"/>
      <w:marLeft w:val="0"/>
      <w:marRight w:val="0"/>
      <w:marTop w:val="0"/>
      <w:marBottom w:val="0"/>
      <w:divBdr>
        <w:top w:val="none" w:sz="0" w:space="0" w:color="auto"/>
        <w:left w:val="none" w:sz="0" w:space="0" w:color="auto"/>
        <w:bottom w:val="none" w:sz="0" w:space="0" w:color="auto"/>
        <w:right w:val="none" w:sz="0" w:space="0" w:color="auto"/>
      </w:divBdr>
    </w:div>
    <w:div w:id="20834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o3068</dc:creator>
  <cp:keywords/>
  <dc:description/>
  <cp:lastModifiedBy>user</cp:lastModifiedBy>
  <cp:revision>2</cp:revision>
  <cp:lastPrinted>2023-01-19T03:42:00Z</cp:lastPrinted>
  <dcterms:created xsi:type="dcterms:W3CDTF">2023-05-24T08:52:00Z</dcterms:created>
  <dcterms:modified xsi:type="dcterms:W3CDTF">2023-05-24T08:52:00Z</dcterms:modified>
</cp:coreProperties>
</file>